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675DE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00"/>
          <w:sz w:val="28"/>
        </w:rPr>
      </w:pPr>
      <w:r w:rsidRPr="00F80707">
        <w:rPr>
          <w:rFonts w:ascii="Palatino Linotype" w:hAnsi="Palatino Linotype" w:cs="Times New Roman"/>
          <w:b/>
          <w:bCs/>
          <w:color w:val="000000"/>
          <w:sz w:val="28"/>
        </w:rPr>
        <w:t>Publication Guidelines for CLR Authors</w:t>
      </w:r>
    </w:p>
    <w:p w14:paraId="701016F3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</w:rPr>
      </w:pPr>
    </w:p>
    <w:p w14:paraId="344D62F0" w14:textId="77777777" w:rsidR="00700BF7" w:rsidRPr="00F80707" w:rsidRDefault="00700BF7" w:rsidP="0004085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The Editorial Board of the Common Law Review ("</w:t>
      </w:r>
      <w:r w:rsidRPr="00F80707">
        <w:rPr>
          <w:rFonts w:ascii="Palatino Linotype" w:hAnsi="Palatino Linotype" w:cs="Times New Roman"/>
          <w:b/>
          <w:bCs/>
          <w:color w:val="000000"/>
        </w:rPr>
        <w:t>Review</w:t>
      </w:r>
      <w:r w:rsidRPr="00F80707">
        <w:rPr>
          <w:rFonts w:ascii="Palatino Linotype" w:hAnsi="Palatino Linotype" w:cs="Times New Roman"/>
          <w:color w:val="000000"/>
        </w:rPr>
        <w:t>") applies the following rules in relation to</w:t>
      </w:r>
      <w:r w:rsidR="00073EA5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the drafting of articles for the Review.</w:t>
      </w:r>
    </w:p>
    <w:p w14:paraId="17D95201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072BA86A" w14:textId="77777777" w:rsidR="00700BF7" w:rsidRPr="00F80707" w:rsidRDefault="00F53BFA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1.</w:t>
      </w:r>
      <w:r w:rsidRPr="00F80707">
        <w:rPr>
          <w:rFonts w:ascii="Palatino Linotype" w:hAnsi="Palatino Linotype" w:cs="Times New Roman"/>
          <w:color w:val="000000"/>
        </w:rPr>
        <w:tab/>
      </w:r>
      <w:r w:rsidR="00700BF7" w:rsidRPr="00F80707">
        <w:rPr>
          <w:rFonts w:ascii="Palatino Linotype" w:hAnsi="Palatino Linotype" w:cs="Times New Roman"/>
          <w:b/>
          <w:bCs/>
          <w:color w:val="000000"/>
        </w:rPr>
        <w:t>STYLE</w:t>
      </w:r>
    </w:p>
    <w:p w14:paraId="30E898E4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</w:p>
    <w:p w14:paraId="663E2703" w14:textId="77777777" w:rsidR="00700BF7" w:rsidRPr="00F80707" w:rsidRDefault="00F53BFA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1.1</w:t>
      </w:r>
      <w:r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Comprehensibility</w:t>
      </w:r>
    </w:p>
    <w:p w14:paraId="796B832A" w14:textId="42174F28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Short and clear sentences are not a sign of insufficient professional background but of good drafting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skills of an author. The article should attract the attention of readers. The best way to do that is to use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case law. This applies for </w:t>
      </w:r>
      <w:r w:rsidR="00CE6CA2">
        <w:rPr>
          <w:rFonts w:ascii="Palatino Linotype" w:hAnsi="Palatino Linotype" w:cs="Times New Roman"/>
          <w:color w:val="000000"/>
        </w:rPr>
        <w:t xml:space="preserve">both </w:t>
      </w:r>
      <w:r w:rsidRPr="00F80707">
        <w:rPr>
          <w:rFonts w:ascii="Palatino Linotype" w:hAnsi="Palatino Linotype" w:cs="Times New Roman"/>
          <w:color w:val="000000"/>
        </w:rPr>
        <w:t xml:space="preserve">common law </w:t>
      </w:r>
      <w:r w:rsidR="00CE6CA2">
        <w:rPr>
          <w:rFonts w:ascii="Palatino Linotype" w:hAnsi="Palatino Linotype" w:cs="Times New Roman"/>
          <w:color w:val="000000"/>
        </w:rPr>
        <w:t>and</w:t>
      </w:r>
      <w:r w:rsidRPr="00F80707">
        <w:rPr>
          <w:rFonts w:ascii="Palatino Linotype" w:hAnsi="Palatino Linotype" w:cs="Times New Roman"/>
          <w:color w:val="000000"/>
        </w:rPr>
        <w:t xml:space="preserve"> Czech law.</w:t>
      </w:r>
    </w:p>
    <w:p w14:paraId="2C93E3BC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40947857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1.2</w:t>
      </w:r>
      <w:r w:rsidR="00F53BFA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Structure</w:t>
      </w:r>
    </w:p>
    <w:p w14:paraId="1AD981AB" w14:textId="13447C9D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Every article published in the Review has to be internally structured in terms of introduction, main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part and conclusion. The introduction (two to three paragraphs, i.e. max. 350 words </w:t>
      </w:r>
      <w:r w:rsidR="00727C7E" w:rsidRPr="00F80707">
        <w:rPr>
          <w:rFonts w:ascii="Palatino Linotype" w:hAnsi="Palatino Linotype" w:cs="Times New Roman"/>
          <w:color w:val="000000"/>
        </w:rPr>
        <w:t>incl.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footnotes) should outline </w:t>
      </w:r>
      <w:r w:rsidR="00727C7E" w:rsidRPr="00F80707">
        <w:rPr>
          <w:rFonts w:ascii="Palatino Linotype" w:hAnsi="Palatino Linotype" w:cs="Times New Roman"/>
          <w:color w:val="000000"/>
        </w:rPr>
        <w:t>the</w:t>
      </w:r>
      <w:r w:rsidRPr="00F80707">
        <w:rPr>
          <w:rFonts w:ascii="Palatino Linotype" w:hAnsi="Palatino Linotype" w:cs="Times New Roman"/>
          <w:color w:val="000000"/>
        </w:rPr>
        <w:t xml:space="preserve"> questions </w:t>
      </w:r>
      <w:r w:rsidR="00727C7E" w:rsidRPr="00F80707">
        <w:rPr>
          <w:rFonts w:ascii="Palatino Linotype" w:hAnsi="Palatino Linotype" w:cs="Times New Roman"/>
          <w:color w:val="000000"/>
        </w:rPr>
        <w:t xml:space="preserve">that </w:t>
      </w:r>
      <w:r w:rsidRPr="00F80707">
        <w:rPr>
          <w:rFonts w:ascii="Palatino Linotype" w:hAnsi="Palatino Linotype" w:cs="Times New Roman"/>
          <w:color w:val="000000"/>
        </w:rPr>
        <w:t>the author will be dealing with. The main part focuses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on the questions indicated in the introduction. The conclusion should briefly summarize the answers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="00C51871" w:rsidRPr="00F80707">
        <w:rPr>
          <w:rFonts w:ascii="Palatino Linotype" w:hAnsi="Palatino Linotype" w:cs="Times New Roman"/>
          <w:color w:val="000000"/>
        </w:rPr>
        <w:t>that</w:t>
      </w:r>
      <w:r w:rsidRPr="00F80707">
        <w:rPr>
          <w:rFonts w:ascii="Palatino Linotype" w:hAnsi="Palatino Linotype" w:cs="Times New Roman"/>
          <w:color w:val="000000"/>
        </w:rPr>
        <w:t xml:space="preserve"> the author has described in the main part. The conclusion is not a place for introducing new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information or arguments and it should be confined to two to three paragraphs (with max. 350 words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="00696B45" w:rsidRPr="00F80707">
        <w:rPr>
          <w:rFonts w:ascii="Palatino Linotype" w:hAnsi="Palatino Linotype" w:cs="Times New Roman"/>
          <w:color w:val="000000"/>
        </w:rPr>
        <w:t>incl.</w:t>
      </w:r>
      <w:r w:rsidRPr="00F80707">
        <w:rPr>
          <w:rFonts w:ascii="Palatino Linotype" w:hAnsi="Palatino Linotype" w:cs="Times New Roman"/>
          <w:color w:val="000000"/>
        </w:rPr>
        <w:t xml:space="preserve"> footnotes). The golden rule applies for the introduction and conclusion: the conclusion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contains the answers to the questions raised in the introduction. Both parts are logically connected: if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there are three questions raised in the introduction, the conclusion should include an answer on each of</w:t>
      </w:r>
      <w:r w:rsidR="00F53BFA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them. Within the main text, the individual arguments should be separated in paragraphs</w:t>
      </w:r>
      <w:r w:rsidR="00F870F7" w:rsidRPr="00F80707">
        <w:rPr>
          <w:rFonts w:ascii="Palatino Linotype" w:hAnsi="Palatino Linotype" w:cs="Times New Roman"/>
          <w:color w:val="000000"/>
        </w:rPr>
        <w:t xml:space="preserve"> (each not exceeding 10 lines).</w:t>
      </w:r>
    </w:p>
    <w:p w14:paraId="25502B5B" w14:textId="77777777" w:rsidR="00F870F7" w:rsidRPr="00F80707" w:rsidRDefault="00F870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0F9BF84F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</w:t>
      </w:r>
      <w:r w:rsidR="00F870F7" w:rsidRPr="00F80707">
        <w:rPr>
          <w:rFonts w:ascii="Palatino Linotype" w:hAnsi="Palatino Linotype" w:cs="Times New Roman"/>
          <w:color w:val="000000"/>
        </w:rPr>
        <w:tab/>
      </w:r>
      <w:r w:rsidR="00F870F7" w:rsidRPr="00F80707">
        <w:rPr>
          <w:rFonts w:ascii="Palatino Linotype" w:hAnsi="Palatino Linotype" w:cs="Times New Roman"/>
          <w:b/>
          <w:bCs/>
          <w:color w:val="000000"/>
        </w:rPr>
        <w:t>LENGTH</w:t>
      </w:r>
      <w:r w:rsidRPr="00F80707">
        <w:rPr>
          <w:rFonts w:ascii="Palatino Linotype" w:hAnsi="Palatino Linotype" w:cs="Times New Roman"/>
          <w:b/>
          <w:bCs/>
          <w:color w:val="000000"/>
        </w:rPr>
        <w:t xml:space="preserve"> </w:t>
      </w:r>
      <w:r w:rsidR="00F870F7" w:rsidRPr="00F80707">
        <w:rPr>
          <w:rFonts w:ascii="Palatino Linotype" w:hAnsi="Palatino Linotype" w:cs="Times New Roman"/>
          <w:b/>
          <w:bCs/>
          <w:color w:val="000000"/>
        </w:rPr>
        <w:t xml:space="preserve">AND FORMAT </w:t>
      </w:r>
      <w:r w:rsidRPr="00F80707">
        <w:rPr>
          <w:rFonts w:ascii="Palatino Linotype" w:hAnsi="Palatino Linotype" w:cs="Times New Roman"/>
          <w:b/>
          <w:bCs/>
          <w:color w:val="000000"/>
        </w:rPr>
        <w:t xml:space="preserve">OF </w:t>
      </w:r>
      <w:r w:rsidR="00F870F7" w:rsidRPr="00F80707">
        <w:rPr>
          <w:rFonts w:ascii="Palatino Linotype" w:hAnsi="Palatino Linotype" w:cs="Times New Roman"/>
          <w:b/>
          <w:bCs/>
          <w:color w:val="000000"/>
        </w:rPr>
        <w:t>YOUR ARTICLE</w:t>
      </w:r>
    </w:p>
    <w:p w14:paraId="6D91B5A7" w14:textId="77777777" w:rsidR="00F870F7" w:rsidRPr="00F80707" w:rsidRDefault="00F870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09F2C866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2.1</w:t>
      </w:r>
      <w:r w:rsidR="00F870F7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Length</w:t>
      </w:r>
    </w:p>
    <w:p w14:paraId="41FEA6EE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Each article should be between 2.000 to 3.000 words long, including footnotes. Only in exceptional</w:t>
      </w:r>
      <w:r w:rsidR="00F870F7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cases, the Editorial Board </w:t>
      </w:r>
      <w:r w:rsidR="00F870F7" w:rsidRPr="00F80707">
        <w:rPr>
          <w:rFonts w:ascii="Palatino Linotype" w:hAnsi="Palatino Linotype" w:cs="Times New Roman"/>
          <w:color w:val="000000"/>
        </w:rPr>
        <w:t>will accept</w:t>
      </w:r>
      <w:r w:rsidRPr="00F80707">
        <w:rPr>
          <w:rFonts w:ascii="Palatino Linotype" w:hAnsi="Palatino Linotype" w:cs="Times New Roman"/>
          <w:color w:val="000000"/>
        </w:rPr>
        <w:t xml:space="preserve"> shorter or longer articles.</w:t>
      </w:r>
    </w:p>
    <w:p w14:paraId="6156C2F0" w14:textId="77777777" w:rsidR="00F870F7" w:rsidRPr="00F80707" w:rsidRDefault="00F870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58816028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2.2</w:t>
      </w:r>
      <w:r w:rsidR="00F870F7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Format</w:t>
      </w:r>
    </w:p>
    <w:p w14:paraId="7652B8BE" w14:textId="7F480E4F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 xml:space="preserve">Each contribution should be sent to </w:t>
      </w:r>
      <w:hyperlink r:id="rId7" w:history="1">
        <w:r w:rsidR="005E242D" w:rsidRPr="00562F47">
          <w:rPr>
            <w:rStyle w:val="Hypertextovodkaz"/>
            <w:rFonts w:ascii="Palatino Linotype" w:hAnsi="Palatino Linotype" w:cs="Times New Roman"/>
          </w:rPr>
          <w:t>CLR@society.cz</w:t>
        </w:r>
      </w:hyperlink>
      <w:r w:rsidR="005E242D">
        <w:rPr>
          <w:rFonts w:ascii="Palatino Linotype" w:hAnsi="Palatino Linotype" w:cs="Times New Roman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in English, in </w:t>
      </w:r>
      <w:r w:rsidR="002F32C0" w:rsidRPr="00F80707">
        <w:rPr>
          <w:rFonts w:ascii="Palatino Linotype" w:hAnsi="Palatino Linotype" w:cs="Times New Roman"/>
          <w:color w:val="000000"/>
        </w:rPr>
        <w:t>a Word processor</w:t>
      </w:r>
      <w:r w:rsidR="00114649" w:rsidRPr="00F80707">
        <w:rPr>
          <w:rFonts w:ascii="Palatino Linotype" w:hAnsi="Palatino Linotype" w:cs="Times New Roman"/>
          <w:color w:val="000000"/>
        </w:rPr>
        <w:t xml:space="preserve"> </w:t>
      </w:r>
      <w:r w:rsidR="002F32C0" w:rsidRPr="00F80707">
        <w:rPr>
          <w:rFonts w:ascii="Palatino Linotype" w:hAnsi="Palatino Linotype" w:cs="Times New Roman"/>
          <w:color w:val="000000"/>
        </w:rPr>
        <w:t>format (</w:t>
      </w:r>
      <w:r w:rsidR="002F32C0" w:rsidRPr="00F80707">
        <w:rPr>
          <w:rFonts w:ascii="Palatino Linotype" w:hAnsi="Palatino Linotype" w:cs="Times New Roman"/>
          <w:i/>
          <w:color w:val="000000"/>
        </w:rPr>
        <w:t>.docx</w:t>
      </w:r>
      <w:r w:rsidR="002F32C0" w:rsidRPr="00F80707">
        <w:rPr>
          <w:rFonts w:ascii="Palatino Linotype" w:hAnsi="Palatino Linotype" w:cs="Times New Roman"/>
          <w:color w:val="000000"/>
        </w:rPr>
        <w:t>,</w:t>
      </w:r>
      <w:r w:rsidR="002F32C0" w:rsidRPr="00F80707">
        <w:rPr>
          <w:rFonts w:ascii="Palatino Linotype" w:hAnsi="Palatino Linotype" w:cs="Times New Roman"/>
          <w:i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.</w:t>
      </w:r>
      <w:r w:rsidRPr="00F80707">
        <w:rPr>
          <w:rFonts w:ascii="Palatino Linotype" w:hAnsi="Palatino Linotype" w:cs="Times New Roman"/>
          <w:i/>
          <w:iCs/>
          <w:color w:val="000000"/>
        </w:rPr>
        <w:t xml:space="preserve">doc </w:t>
      </w:r>
      <w:r w:rsidRPr="00F80707">
        <w:rPr>
          <w:rFonts w:ascii="Palatino Linotype" w:hAnsi="Palatino Linotype" w:cs="Times New Roman"/>
          <w:color w:val="000000"/>
        </w:rPr>
        <w:t xml:space="preserve">or </w:t>
      </w:r>
      <w:r w:rsidRPr="00F80707">
        <w:rPr>
          <w:rFonts w:ascii="Palatino Linotype" w:hAnsi="Palatino Linotype" w:cs="Times New Roman"/>
          <w:i/>
          <w:iCs/>
          <w:color w:val="000000"/>
        </w:rPr>
        <w:t>.rtf</w:t>
      </w:r>
      <w:r w:rsidR="002F32C0" w:rsidRPr="00F80707">
        <w:rPr>
          <w:rFonts w:ascii="Palatino Linotype" w:hAnsi="Palatino Linotype" w:cs="Times New Roman"/>
          <w:iCs/>
          <w:color w:val="000000"/>
        </w:rPr>
        <w:t>)</w:t>
      </w:r>
      <w:r w:rsidRPr="00F80707">
        <w:rPr>
          <w:rFonts w:ascii="Palatino Linotype" w:hAnsi="Palatino Linotype" w:cs="Times New Roman"/>
          <w:color w:val="000000"/>
        </w:rPr>
        <w:t xml:space="preserve">, </w:t>
      </w:r>
      <w:r w:rsidR="00114649" w:rsidRPr="00F80707">
        <w:rPr>
          <w:rFonts w:ascii="Palatino Linotype" w:hAnsi="Palatino Linotype" w:cs="Times New Roman"/>
          <w:color w:val="000000"/>
        </w:rPr>
        <w:t>using the Times New Roman font, size 12, spacing 1,5.</w:t>
      </w:r>
    </w:p>
    <w:p w14:paraId="5E864589" w14:textId="77777777" w:rsidR="00114649" w:rsidRPr="00F80707" w:rsidRDefault="00114649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602683FE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2.3</w:t>
      </w:r>
      <w:r w:rsidR="00114649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Terms in Latin and other languages</w:t>
      </w:r>
    </w:p>
    <w:p w14:paraId="40A27E57" w14:textId="0C3CA102" w:rsidR="00700BF7" w:rsidRPr="00F80707" w:rsidRDefault="00114649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A</w:t>
      </w:r>
      <w:r w:rsidR="00700BF7" w:rsidRPr="00F80707">
        <w:rPr>
          <w:rFonts w:ascii="Palatino Linotype" w:hAnsi="Palatino Linotype" w:cs="Times New Roman"/>
          <w:color w:val="000000"/>
        </w:rPr>
        <w:t>uthors should avoid using terms in Latin or other languages</w:t>
      </w:r>
      <w:r w:rsidR="00C96807" w:rsidRPr="00F80707">
        <w:rPr>
          <w:rFonts w:ascii="Palatino Linotype" w:hAnsi="Palatino Linotype" w:cs="Times New Roman"/>
          <w:color w:val="000000"/>
        </w:rPr>
        <w:t xml:space="preserve"> (except </w:t>
      </w:r>
      <w:r w:rsidR="00CE6CA2">
        <w:rPr>
          <w:rFonts w:ascii="Palatino Linotype" w:hAnsi="Palatino Linotype" w:cs="Times New Roman"/>
          <w:color w:val="000000"/>
        </w:rPr>
        <w:t>for</w:t>
      </w:r>
      <w:r w:rsidR="00C96807" w:rsidRPr="00F80707">
        <w:rPr>
          <w:rFonts w:ascii="Palatino Linotype" w:hAnsi="Palatino Linotype" w:cs="Times New Roman"/>
          <w:color w:val="000000"/>
        </w:rPr>
        <w:t xml:space="preserve"> legislation titles); </w:t>
      </w:r>
      <w:r w:rsidR="00700BF7" w:rsidRPr="00F80707">
        <w:rPr>
          <w:rFonts w:ascii="Palatino Linotype" w:hAnsi="Palatino Linotype" w:cs="Times New Roman"/>
          <w:color w:val="000000"/>
        </w:rPr>
        <w:t>they</w:t>
      </w:r>
      <w:r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should </w:t>
      </w:r>
      <w:r w:rsidR="00C96807" w:rsidRPr="00F80707">
        <w:rPr>
          <w:rFonts w:ascii="Palatino Linotype" w:hAnsi="Palatino Linotype" w:cs="Times New Roman"/>
          <w:color w:val="000000"/>
        </w:rPr>
        <w:t xml:space="preserve">rather </w:t>
      </w:r>
      <w:r w:rsidR="00700BF7" w:rsidRPr="00F80707">
        <w:rPr>
          <w:rFonts w:ascii="Palatino Linotype" w:hAnsi="Palatino Linotype" w:cs="Times New Roman"/>
          <w:color w:val="000000"/>
        </w:rPr>
        <w:t>use the English translation instead. If this is not possible and a foreign term is used, it is</w:t>
      </w:r>
      <w:r w:rsidR="00C96807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necessary to use the correct spelling for </w:t>
      </w:r>
      <w:r w:rsidR="00C96807" w:rsidRPr="00F80707">
        <w:rPr>
          <w:rFonts w:ascii="Palatino Linotype" w:hAnsi="Palatino Linotype" w:cs="Times New Roman"/>
          <w:color w:val="000000"/>
        </w:rPr>
        <w:t>a foreign</w:t>
      </w:r>
      <w:r w:rsidR="00700BF7" w:rsidRPr="00F80707">
        <w:rPr>
          <w:rFonts w:ascii="Palatino Linotype" w:hAnsi="Palatino Linotype" w:cs="Times New Roman"/>
          <w:color w:val="000000"/>
        </w:rPr>
        <w:t xml:space="preserve"> term (such as, for example, French accents, German</w:t>
      </w:r>
      <w:r w:rsidR="00C96807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Umlauts, etc.). The term in Latin should be written in italics (such as the term </w:t>
      </w:r>
      <w:r w:rsidR="00700BF7" w:rsidRPr="00F80707">
        <w:rPr>
          <w:rFonts w:ascii="Palatino Linotype" w:hAnsi="Palatino Linotype" w:cs="Times New Roman"/>
          <w:i/>
          <w:iCs/>
          <w:color w:val="000000"/>
        </w:rPr>
        <w:t xml:space="preserve">ibid. </w:t>
      </w:r>
      <w:r w:rsidR="00700BF7" w:rsidRPr="00F80707">
        <w:rPr>
          <w:rFonts w:ascii="Palatino Linotype" w:hAnsi="Palatino Linotype" w:cs="Times New Roman"/>
          <w:color w:val="000000"/>
        </w:rPr>
        <w:t>in the footnotes).</w:t>
      </w:r>
    </w:p>
    <w:p w14:paraId="043407B1" w14:textId="77777777" w:rsidR="00CA7356" w:rsidRDefault="00CA7356">
      <w:pPr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br w:type="page"/>
      </w:r>
    </w:p>
    <w:p w14:paraId="5B17D1AA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lastRenderedPageBreak/>
        <w:t>2.4</w:t>
      </w:r>
      <w:r w:rsidR="00C96807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Headings</w:t>
      </w:r>
    </w:p>
    <w:p w14:paraId="3BD341B9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For an ease of reference, headings should be used in each article. If the headings are numbered, it</w:t>
      </w:r>
      <w:r w:rsidR="00C96807"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should be ideally in the same way as these guidelines, with</w:t>
      </w:r>
      <w:r w:rsidR="00BE5826" w:rsidRPr="00F80707">
        <w:rPr>
          <w:rFonts w:ascii="Palatino Linotype" w:hAnsi="Palatino Linotype" w:cs="Times New Roman"/>
          <w:color w:val="000000"/>
        </w:rPr>
        <w:t xml:space="preserve"> maximum two levels of headings.</w:t>
      </w:r>
    </w:p>
    <w:p w14:paraId="328D1D51" w14:textId="77777777" w:rsidR="00BE5826" w:rsidRPr="00F80707" w:rsidRDefault="00BE5826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6AAA6E5C" w14:textId="77777777" w:rsidR="00700BF7" w:rsidRPr="00F80707" w:rsidRDefault="00700BF7" w:rsidP="00354D7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2.5</w:t>
      </w:r>
      <w:r w:rsidR="00BE5826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Footnotes</w:t>
      </w:r>
    </w:p>
    <w:p w14:paraId="2758B9A2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The purpose of footnotes is gene</w:t>
      </w:r>
      <w:r w:rsidR="00565D52" w:rsidRPr="00F80707">
        <w:rPr>
          <w:rFonts w:ascii="Palatino Linotype" w:hAnsi="Palatino Linotype" w:cs="Times New Roman"/>
          <w:color w:val="000000"/>
        </w:rPr>
        <w:t>rally to refer to the sources used for your article</w:t>
      </w:r>
      <w:r w:rsidR="00BE5826" w:rsidRPr="00F80707">
        <w:rPr>
          <w:rFonts w:ascii="Palatino Linotype" w:hAnsi="Palatino Linotype" w:cs="Times New Roman"/>
          <w:color w:val="000000"/>
        </w:rPr>
        <w:t>; they are not supposed to contain any substantive arguments</w:t>
      </w:r>
      <w:r w:rsidRPr="00F80707">
        <w:rPr>
          <w:rFonts w:ascii="Palatino Linotype" w:hAnsi="Palatino Linotype" w:cs="Times New Roman"/>
          <w:color w:val="000000"/>
        </w:rPr>
        <w:t>. The footnotes are numbered by Arabic numerals.</w:t>
      </w:r>
    </w:p>
    <w:p w14:paraId="11D63925" w14:textId="77777777" w:rsidR="00565D52" w:rsidRPr="00F80707" w:rsidRDefault="00565D52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625B0A3E" w14:textId="77777777" w:rsidR="00700BF7" w:rsidRPr="00F80707" w:rsidRDefault="00565D52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2.6</w:t>
      </w:r>
      <w:r w:rsidRPr="00F80707">
        <w:rPr>
          <w:rFonts w:ascii="Palatino Linotype" w:hAnsi="Palatino Linotype" w:cs="Times New Roman"/>
          <w:color w:val="000000"/>
        </w:rPr>
        <w:tab/>
      </w:r>
      <w:r w:rsidR="00700BF7" w:rsidRPr="00F80707">
        <w:rPr>
          <w:rFonts w:ascii="Palatino Linotype" w:hAnsi="Palatino Linotype" w:cs="Times New Roman"/>
          <w:b/>
          <w:bCs/>
          <w:color w:val="000000"/>
        </w:rPr>
        <w:t>Referencing</w:t>
      </w:r>
      <w:r w:rsidR="00F760A4">
        <w:rPr>
          <w:rStyle w:val="Znakapoznpodarou"/>
          <w:rFonts w:ascii="Palatino Linotype" w:hAnsi="Palatino Linotype" w:cs="Times New Roman"/>
          <w:b/>
          <w:bCs/>
          <w:color w:val="000000"/>
        </w:rPr>
        <w:footnoteReference w:id="1"/>
      </w:r>
    </w:p>
    <w:p w14:paraId="59A4E981" w14:textId="6718AC41" w:rsidR="00700BF7" w:rsidRPr="00F80707" w:rsidRDefault="00CE6CA2" w:rsidP="00CE6CA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 xml:space="preserve">The main aim of referencing is to enable a reader to find the sources used for the article. </w:t>
      </w:r>
      <w:r w:rsidR="00BB4B80" w:rsidRPr="00F80707">
        <w:rPr>
          <w:rFonts w:ascii="Palatino Linotype" w:hAnsi="Palatino Linotype" w:cs="Times New Roman"/>
          <w:color w:val="000000"/>
        </w:rPr>
        <w:t>As for</w:t>
      </w:r>
      <w:r w:rsidR="00A048F4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references to books, </w:t>
      </w:r>
      <w:r>
        <w:rPr>
          <w:rFonts w:ascii="Palatino Linotype" w:hAnsi="Palatino Linotype" w:cs="Times New Roman"/>
          <w:color w:val="000000"/>
        </w:rPr>
        <w:t xml:space="preserve">articles, </w:t>
      </w:r>
      <w:r w:rsidR="00700BF7" w:rsidRPr="00F80707">
        <w:rPr>
          <w:rFonts w:ascii="Palatino Linotype" w:hAnsi="Palatino Linotype" w:cs="Times New Roman"/>
          <w:color w:val="000000"/>
        </w:rPr>
        <w:t>collections of papers, government</w:t>
      </w:r>
      <w:r>
        <w:rPr>
          <w:rFonts w:ascii="Palatino Linotype" w:hAnsi="Palatino Linotype" w:cs="Times New Roman"/>
          <w:color w:val="000000"/>
        </w:rPr>
        <w:t xml:space="preserve"> or corporate body publications, </w:t>
      </w:r>
      <w:r w:rsidR="00700BF7" w:rsidRPr="00F80707">
        <w:rPr>
          <w:rFonts w:ascii="Palatino Linotype" w:hAnsi="Palatino Linotype" w:cs="Times New Roman"/>
          <w:color w:val="000000"/>
        </w:rPr>
        <w:t>and</w:t>
      </w:r>
      <w:r w:rsidR="00BB4B80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electronic documents, the Review applies </w:t>
      </w:r>
      <w:r>
        <w:rPr>
          <w:rFonts w:ascii="Palatino Linotype" w:hAnsi="Palatino Linotype" w:cs="Times New Roman"/>
          <w:color w:val="000000"/>
        </w:rPr>
        <w:t>a</w:t>
      </w:r>
      <w:r w:rsidR="00700BF7" w:rsidRPr="00F80707">
        <w:rPr>
          <w:rFonts w:ascii="Palatino Linotype" w:hAnsi="Palatino Linotype" w:cs="Times New Roman"/>
          <w:color w:val="000000"/>
        </w:rPr>
        <w:t xml:space="preserve"> numeric system of referencing source materials</w:t>
      </w:r>
      <w:r w:rsidR="00BB4B80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(“numeric system”) according to the British interpretation of ISO 690. </w:t>
      </w:r>
      <w:r w:rsidR="00BB4B80" w:rsidRPr="00F80707">
        <w:rPr>
          <w:rFonts w:ascii="Palatino Linotype" w:hAnsi="Palatino Linotype" w:cs="Times New Roman"/>
          <w:color w:val="000000"/>
        </w:rPr>
        <w:t>As for</w:t>
      </w:r>
      <w:r w:rsidR="00700BF7" w:rsidRPr="00F80707">
        <w:rPr>
          <w:rFonts w:ascii="Palatino Linotype" w:hAnsi="Palatino Linotype" w:cs="Times New Roman"/>
          <w:color w:val="000000"/>
        </w:rPr>
        <w:t xml:space="preserve"> references</w:t>
      </w:r>
      <w:r w:rsidR="00BB4B80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>to legislation and case law, it is necessary to follow the manner of referencing applied in the</w:t>
      </w:r>
      <w:r w:rsidR="00BB4B80" w:rsidRPr="00F80707"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 xml:space="preserve">relevant jurisdiction. The following subsections </w:t>
      </w:r>
      <w:r>
        <w:rPr>
          <w:rFonts w:ascii="Palatino Linotype" w:hAnsi="Palatino Linotype" w:cs="Times New Roman"/>
          <w:color w:val="000000"/>
        </w:rPr>
        <w:t>(</w:t>
      </w:r>
      <w:r w:rsidR="00700BF7" w:rsidRPr="00F80707">
        <w:rPr>
          <w:rFonts w:ascii="Palatino Linotype" w:hAnsi="Palatino Linotype" w:cs="Times New Roman"/>
          <w:color w:val="000000"/>
        </w:rPr>
        <w:t>2.6.1 to 2.6.7</w:t>
      </w:r>
      <w:r>
        <w:rPr>
          <w:rFonts w:ascii="Palatino Linotype" w:hAnsi="Palatino Linotype" w:cs="Times New Roman"/>
          <w:color w:val="000000"/>
        </w:rPr>
        <w:t>)</w:t>
      </w:r>
      <w:r w:rsidR="00700BF7" w:rsidRPr="00F80707">
        <w:rPr>
          <w:rFonts w:ascii="Palatino Linotype" w:hAnsi="Palatino Linotype" w:cs="Times New Roman"/>
          <w:color w:val="000000"/>
        </w:rPr>
        <w:t xml:space="preserve"> should give you </w:t>
      </w:r>
      <w:r>
        <w:rPr>
          <w:rFonts w:ascii="Palatino Linotype" w:hAnsi="Palatino Linotype" w:cs="Times New Roman"/>
          <w:color w:val="000000"/>
        </w:rPr>
        <w:t xml:space="preserve">some </w:t>
      </w:r>
      <w:r w:rsidR="00700BF7" w:rsidRPr="00F80707">
        <w:rPr>
          <w:rFonts w:ascii="Palatino Linotype" w:hAnsi="Palatino Linotype" w:cs="Times New Roman"/>
          <w:color w:val="000000"/>
        </w:rPr>
        <w:t>indication</w:t>
      </w:r>
      <w:r>
        <w:rPr>
          <w:rFonts w:ascii="Palatino Linotype" w:hAnsi="Palatino Linotype" w:cs="Times New Roman"/>
          <w:color w:val="000000"/>
        </w:rPr>
        <w:t>s</w:t>
      </w:r>
      <w:r w:rsidR="00BB4B80" w:rsidRPr="00F80707">
        <w:rPr>
          <w:rFonts w:ascii="Palatino Linotype" w:hAnsi="Palatino Linotype" w:cs="Times New Roman"/>
          <w:color w:val="000000"/>
        </w:rPr>
        <w:t xml:space="preserve"> of the </w:t>
      </w:r>
      <w:r w:rsidR="00700BF7" w:rsidRPr="00F80707">
        <w:rPr>
          <w:rFonts w:ascii="Palatino Linotype" w:hAnsi="Palatino Linotype" w:cs="Times New Roman"/>
          <w:color w:val="000000"/>
        </w:rPr>
        <w:t xml:space="preserve">approach </w:t>
      </w:r>
      <w:r w:rsidR="005A55B6" w:rsidRPr="00F80707">
        <w:rPr>
          <w:rFonts w:ascii="Palatino Linotype" w:hAnsi="Palatino Linotype" w:cs="Times New Roman"/>
          <w:color w:val="000000"/>
        </w:rPr>
        <w:t>preferred by the Review.</w:t>
      </w:r>
    </w:p>
    <w:p w14:paraId="269ED2CE" w14:textId="77777777" w:rsidR="005A55B6" w:rsidRPr="00F80707" w:rsidRDefault="005A55B6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3609F39E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2.6.1</w:t>
      </w:r>
      <w:r w:rsidR="005A55B6" w:rsidRPr="00F80707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Books</w:t>
      </w:r>
    </w:p>
    <w:p w14:paraId="36D3B284" w14:textId="63B73525" w:rsidR="00700BF7" w:rsidRPr="00F80707" w:rsidRDefault="00040850" w:rsidP="00F8070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Craig, P. and d</w:t>
      </w:r>
      <w:r w:rsidR="00700BF7" w:rsidRPr="00366BC2">
        <w:rPr>
          <w:rFonts w:ascii="Palatino Linotype" w:hAnsi="Palatino Linotype" w:cs="Times New Roman"/>
          <w:color w:val="000000"/>
        </w:rPr>
        <w:t xml:space="preserve">e </w:t>
      </w:r>
      <w:r>
        <w:rPr>
          <w:rFonts w:ascii="Palatino Linotype" w:hAnsi="Palatino Linotype" w:cs="Times New Roman"/>
          <w:color w:val="000000"/>
        </w:rPr>
        <w:t>Búrca</w:t>
      </w:r>
      <w:r w:rsidR="00700BF7" w:rsidRPr="00366BC2">
        <w:rPr>
          <w:rFonts w:ascii="Palatino Linotype" w:hAnsi="Palatino Linotype" w:cs="Times New Roman"/>
          <w:color w:val="000000"/>
        </w:rPr>
        <w:t>, G.</w:t>
      </w:r>
      <w:r w:rsidR="00631E19">
        <w:rPr>
          <w:rFonts w:ascii="Palatino Linotype" w:hAnsi="Palatino Linotype" w:cs="Times New Roman"/>
          <w:color w:val="000000"/>
        </w:rPr>
        <w:t xml:space="preserve"> (2015).</w:t>
      </w:r>
      <w:r w:rsidR="00700BF7" w:rsidRPr="00366BC2">
        <w:rPr>
          <w:rFonts w:ascii="Palatino Linotype" w:hAnsi="Palatino Linotype" w:cs="Times New Roman"/>
          <w:color w:val="000000"/>
        </w:rPr>
        <w:t xml:space="preserve"> </w:t>
      </w:r>
      <w:r>
        <w:rPr>
          <w:rFonts w:ascii="Palatino Linotype" w:hAnsi="Palatino Linotype" w:cs="Times New Roman"/>
          <w:i/>
          <w:iCs/>
          <w:color w:val="000000"/>
        </w:rPr>
        <w:t>EU Law:</w:t>
      </w:r>
      <w:r w:rsidR="00700BF7" w:rsidRPr="00366BC2">
        <w:rPr>
          <w:rFonts w:ascii="Palatino Linotype" w:hAnsi="Palatino Linotype" w:cs="Times New Roman"/>
          <w:i/>
          <w:iCs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i/>
          <w:iCs/>
          <w:color w:val="000000"/>
        </w:rPr>
        <w:t>Text, Cases, and Materials</w:t>
      </w:r>
      <w:r w:rsidR="00631E19">
        <w:rPr>
          <w:rFonts w:ascii="Palatino Linotype" w:hAnsi="Palatino Linotype" w:cs="Times New Roman"/>
          <w:color w:val="000000"/>
        </w:rPr>
        <w:t>.</w:t>
      </w:r>
      <w:r w:rsidR="005A55B6" w:rsidRPr="00F80707">
        <w:rPr>
          <w:rFonts w:ascii="Palatino Linotype" w:hAnsi="Palatino Linotype" w:cs="Times New Roman"/>
          <w:color w:val="000000"/>
        </w:rPr>
        <w:t xml:space="preserve"> </w:t>
      </w:r>
      <w:r>
        <w:rPr>
          <w:rFonts w:ascii="Palatino Linotype" w:hAnsi="Palatino Linotype" w:cs="Times New Roman"/>
          <w:color w:val="000000"/>
        </w:rPr>
        <w:t>6</w:t>
      </w:r>
      <w:r w:rsidR="00700BF7" w:rsidRPr="00F80707">
        <w:rPr>
          <w:rFonts w:ascii="Palatino Linotype" w:hAnsi="Palatino Linotype" w:cs="Times New Roman"/>
          <w:color w:val="000000"/>
          <w:vertAlign w:val="superscript"/>
        </w:rPr>
        <w:t>th</w:t>
      </w:r>
      <w:r w:rsidR="00700BF7" w:rsidRPr="00F80707">
        <w:rPr>
          <w:rFonts w:ascii="Palatino Linotype" w:hAnsi="Palatino Linotype" w:cs="Times New Roman"/>
          <w:color w:val="000000"/>
        </w:rPr>
        <w:t xml:space="preserve"> Ed. Oxford: Oxford University</w:t>
      </w:r>
      <w:r w:rsidR="00631E19">
        <w:rPr>
          <w:rFonts w:ascii="Palatino Linotype" w:hAnsi="Palatino Linotype" w:cs="Times New Roman"/>
          <w:color w:val="000000"/>
        </w:rPr>
        <w:t xml:space="preserve"> Press</w:t>
      </w:r>
      <w:r w:rsidR="00700BF7" w:rsidRPr="00F80707">
        <w:rPr>
          <w:rFonts w:ascii="Palatino Linotype" w:hAnsi="Palatino Linotype" w:cs="Times New Roman"/>
          <w:color w:val="000000"/>
        </w:rPr>
        <w:t>, p. 45.</w:t>
      </w:r>
    </w:p>
    <w:p w14:paraId="72743BAE" w14:textId="77777777" w:rsidR="005A55B6" w:rsidRPr="00F80707" w:rsidRDefault="005A55B6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70227838" w14:textId="77777777" w:rsidR="00700BF7" w:rsidRPr="00F80707" w:rsidRDefault="00CD4980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>
        <w:rPr>
          <w:rFonts w:ascii="Palatino Linotype" w:hAnsi="Palatino Linotype" w:cs="Times New Roman"/>
          <w:color w:val="000000"/>
        </w:rPr>
        <w:t>2.6.2</w:t>
      </w:r>
      <w:r>
        <w:rPr>
          <w:rFonts w:ascii="Palatino Linotype" w:hAnsi="Palatino Linotype" w:cs="Times New Roman"/>
          <w:color w:val="000000"/>
        </w:rPr>
        <w:tab/>
      </w:r>
      <w:r w:rsidR="00700BF7" w:rsidRPr="00F80707">
        <w:rPr>
          <w:rFonts w:ascii="Palatino Linotype" w:hAnsi="Palatino Linotype" w:cs="Times New Roman"/>
          <w:b/>
          <w:bCs/>
          <w:color w:val="000000"/>
        </w:rPr>
        <w:t>Collection of Papers</w:t>
      </w:r>
    </w:p>
    <w:p w14:paraId="756AFFD7" w14:textId="31958FD6" w:rsidR="00700BF7" w:rsidRDefault="00700BF7" w:rsidP="00CD4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Dow, S. R.</w:t>
      </w:r>
      <w:r w:rsidR="00631E19">
        <w:rPr>
          <w:rFonts w:ascii="Palatino Linotype" w:hAnsi="Palatino Linotype" w:cs="Times New Roman"/>
          <w:color w:val="000000"/>
        </w:rPr>
        <w:t xml:space="preserve"> (2001). </w:t>
      </w:r>
      <w:r w:rsidRPr="00F80707">
        <w:rPr>
          <w:rFonts w:ascii="Palatino Linotype" w:hAnsi="Palatino Linotype" w:cs="Times New Roman"/>
          <w:color w:val="000000"/>
        </w:rPr>
        <w:t xml:space="preserve">Energy Law in the United Kingdom. In: </w:t>
      </w:r>
      <w:r w:rsidR="00631E19">
        <w:rPr>
          <w:rFonts w:ascii="Palatino Linotype" w:hAnsi="Palatino Linotype" w:cs="Times New Roman"/>
          <w:color w:val="000000"/>
        </w:rPr>
        <w:t xml:space="preserve">M. </w:t>
      </w:r>
      <w:r w:rsidRPr="00F80707">
        <w:rPr>
          <w:rFonts w:ascii="Palatino Linotype" w:hAnsi="Palatino Linotype" w:cs="Times New Roman"/>
          <w:color w:val="000000"/>
        </w:rPr>
        <w:t xml:space="preserve">Roggenkamp, </w:t>
      </w:r>
      <w:r w:rsidR="00631E19">
        <w:rPr>
          <w:rFonts w:ascii="Palatino Linotype" w:hAnsi="Palatino Linotype" w:cs="Times New Roman"/>
          <w:color w:val="000000"/>
        </w:rPr>
        <w:t>A. Renne</w:t>
      </w:r>
      <w:r w:rsidR="00040850">
        <w:rPr>
          <w:rFonts w:ascii="Palatino Linotype" w:hAnsi="Palatino Linotype" w:cs="Times New Roman"/>
          <w:color w:val="000000"/>
        </w:rPr>
        <w:t xml:space="preserve"> (eds.),</w:t>
      </w:r>
      <w:r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i/>
          <w:iCs/>
          <w:color w:val="000000"/>
        </w:rPr>
        <w:t>Energy Law in</w:t>
      </w:r>
      <w:r w:rsidR="00CD4980">
        <w:rPr>
          <w:rFonts w:ascii="Palatino Linotype" w:hAnsi="Palatino Linotype" w:cs="Times New Roman"/>
          <w:i/>
          <w:iCs/>
          <w:color w:val="000000"/>
        </w:rPr>
        <w:t xml:space="preserve"> </w:t>
      </w:r>
      <w:r w:rsidR="00040850">
        <w:rPr>
          <w:rFonts w:ascii="Palatino Linotype" w:hAnsi="Palatino Linotype" w:cs="Times New Roman"/>
          <w:i/>
          <w:iCs/>
          <w:color w:val="000000"/>
        </w:rPr>
        <w:t>Europe:</w:t>
      </w:r>
      <w:r w:rsidRPr="00F80707">
        <w:rPr>
          <w:rFonts w:ascii="Palatino Linotype" w:hAnsi="Palatino Linotype" w:cs="Times New Roman"/>
          <w:i/>
          <w:iCs/>
          <w:color w:val="000000"/>
        </w:rPr>
        <w:t xml:space="preserve"> National, EU and International Law and Institutions</w:t>
      </w:r>
      <w:r w:rsidRPr="00F80707">
        <w:rPr>
          <w:rFonts w:ascii="Palatino Linotype" w:hAnsi="Palatino Linotype" w:cs="Times New Roman"/>
          <w:color w:val="000000"/>
        </w:rPr>
        <w:t>. Oxford: Oxford U</w:t>
      </w:r>
      <w:r w:rsidR="00631E19">
        <w:rPr>
          <w:rFonts w:ascii="Palatino Linotype" w:hAnsi="Palatino Linotype" w:cs="Times New Roman"/>
          <w:color w:val="000000"/>
        </w:rPr>
        <w:t>niversity Press</w:t>
      </w:r>
      <w:r w:rsidR="00CD4980">
        <w:rPr>
          <w:rFonts w:ascii="Palatino Linotype" w:hAnsi="Palatino Linotype" w:cs="Times New Roman"/>
          <w:color w:val="000000"/>
        </w:rPr>
        <w:t>, pp. 902-</w:t>
      </w:r>
      <w:r w:rsidRPr="00F80707">
        <w:rPr>
          <w:rFonts w:ascii="Palatino Linotype" w:hAnsi="Palatino Linotype" w:cs="Times New Roman"/>
          <w:color w:val="000000"/>
        </w:rPr>
        <w:t>903.</w:t>
      </w:r>
    </w:p>
    <w:p w14:paraId="24E5D2EB" w14:textId="77777777" w:rsidR="00CD4980" w:rsidRPr="00F80707" w:rsidRDefault="00CD4980" w:rsidP="00CD4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1FD945EF" w14:textId="77777777" w:rsidR="00700BF7" w:rsidRPr="00F80707" w:rsidRDefault="00CD4980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>
        <w:rPr>
          <w:rFonts w:ascii="Palatino Linotype" w:hAnsi="Palatino Linotype" w:cs="Times New Roman"/>
          <w:color w:val="000000"/>
        </w:rPr>
        <w:t>2.6.3</w:t>
      </w:r>
      <w:r>
        <w:rPr>
          <w:rFonts w:ascii="Palatino Linotype" w:hAnsi="Palatino Linotype" w:cs="Times New Roman"/>
          <w:color w:val="000000"/>
        </w:rPr>
        <w:tab/>
      </w:r>
      <w:r w:rsidR="00700BF7" w:rsidRPr="00F80707">
        <w:rPr>
          <w:rFonts w:ascii="Palatino Linotype" w:hAnsi="Palatino Linotype" w:cs="Times New Roman"/>
          <w:b/>
          <w:bCs/>
          <w:color w:val="000000"/>
        </w:rPr>
        <w:t>Government or Corporate Body Publications</w:t>
      </w:r>
    </w:p>
    <w:p w14:paraId="6D5C9D04" w14:textId="77777777" w:rsidR="00700BF7" w:rsidRDefault="00700BF7" w:rsidP="00CD4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World Meteorological Organization</w:t>
      </w:r>
      <w:r w:rsidR="00040850">
        <w:rPr>
          <w:rFonts w:ascii="Palatino Linotype" w:hAnsi="Palatino Linotype" w:cs="Times New Roman"/>
          <w:color w:val="000000"/>
        </w:rPr>
        <w:t xml:space="preserve"> (1997),</w:t>
      </w:r>
      <w:r w:rsidRPr="00F80707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i/>
          <w:iCs/>
          <w:color w:val="000000"/>
        </w:rPr>
        <w:t xml:space="preserve">The world's water: is there enough? </w:t>
      </w:r>
      <w:r w:rsidRPr="00F80707">
        <w:rPr>
          <w:rFonts w:ascii="Palatino Linotype" w:hAnsi="Palatino Linotype" w:cs="Times New Roman"/>
          <w:color w:val="000000"/>
        </w:rPr>
        <w:t>Geneva: World Meteorological</w:t>
      </w:r>
      <w:r w:rsidR="00CD4980">
        <w:rPr>
          <w:rFonts w:ascii="Palatino Linotype" w:hAnsi="Palatino Linotype" w:cs="Times New Roman"/>
          <w:color w:val="000000"/>
        </w:rPr>
        <w:t xml:space="preserve"> </w:t>
      </w:r>
      <w:r w:rsidR="00040850">
        <w:rPr>
          <w:rFonts w:ascii="Palatino Linotype" w:hAnsi="Palatino Linotype" w:cs="Times New Roman"/>
          <w:color w:val="000000"/>
        </w:rPr>
        <w:t>Organization: Unesco,</w:t>
      </w:r>
      <w:r w:rsidRPr="00F80707">
        <w:rPr>
          <w:rFonts w:ascii="Palatino Linotype" w:hAnsi="Palatino Linotype" w:cs="Times New Roman"/>
          <w:color w:val="000000"/>
        </w:rPr>
        <w:t xml:space="preserve"> WMO no. 857, p. 25.</w:t>
      </w:r>
    </w:p>
    <w:p w14:paraId="15008F54" w14:textId="77777777" w:rsidR="00CD4980" w:rsidRPr="00F80707" w:rsidRDefault="00CD4980" w:rsidP="00CD4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51873A25" w14:textId="77777777" w:rsidR="00700BF7" w:rsidRPr="00F80707" w:rsidRDefault="00CD4980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>
        <w:rPr>
          <w:rFonts w:ascii="Palatino Linotype" w:hAnsi="Palatino Linotype" w:cs="Times New Roman"/>
          <w:color w:val="000000"/>
        </w:rPr>
        <w:t>2.6.4</w:t>
      </w:r>
      <w:r>
        <w:rPr>
          <w:rFonts w:ascii="Palatino Linotype" w:hAnsi="Palatino Linotype" w:cs="Times New Roman"/>
          <w:color w:val="000000"/>
        </w:rPr>
        <w:tab/>
      </w:r>
      <w:r w:rsidR="00700BF7" w:rsidRPr="00F80707">
        <w:rPr>
          <w:rFonts w:ascii="Palatino Linotype" w:hAnsi="Palatino Linotype" w:cs="Times New Roman"/>
          <w:b/>
          <w:bCs/>
          <w:color w:val="000000"/>
        </w:rPr>
        <w:t>Electronic publications</w:t>
      </w:r>
    </w:p>
    <w:p w14:paraId="4BCE72DC" w14:textId="33513A20" w:rsidR="00700BF7" w:rsidRPr="00D156EA" w:rsidRDefault="00700BF7" w:rsidP="00CD4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80707">
        <w:rPr>
          <w:rFonts w:ascii="Palatino Linotype" w:hAnsi="Palatino Linotype" w:cs="Times New Roman"/>
          <w:color w:val="000000"/>
        </w:rPr>
        <w:t>Weiler, J.H.H.</w:t>
      </w:r>
      <w:r w:rsidR="00631E19">
        <w:rPr>
          <w:rFonts w:ascii="Palatino Linotype" w:hAnsi="Palatino Linotype" w:cs="Times New Roman"/>
          <w:color w:val="000000"/>
        </w:rPr>
        <w:t xml:space="preserve"> (2000).</w:t>
      </w:r>
      <w:r w:rsidRPr="00F80707">
        <w:rPr>
          <w:rFonts w:ascii="Palatino Linotype" w:hAnsi="Palatino Linotype" w:cs="Times New Roman"/>
          <w:color w:val="000000"/>
        </w:rPr>
        <w:t xml:space="preserve"> </w:t>
      </w:r>
      <w:r w:rsidRPr="00631E19">
        <w:rPr>
          <w:rFonts w:ascii="Palatino Linotype" w:hAnsi="Palatino Linotype" w:cs="Times New Roman"/>
          <w:iCs/>
          <w:color w:val="000000"/>
        </w:rPr>
        <w:t>The Rule of Lawyers and the Ethos of Diplomats: Reflections on the Internal and External</w:t>
      </w:r>
      <w:r w:rsidR="00CD4980" w:rsidRPr="00631E19">
        <w:rPr>
          <w:rFonts w:ascii="Palatino Linotype" w:hAnsi="Palatino Linotype" w:cs="Times New Roman"/>
          <w:iCs/>
          <w:color w:val="000000"/>
        </w:rPr>
        <w:t xml:space="preserve"> </w:t>
      </w:r>
      <w:r w:rsidRPr="00631E19">
        <w:rPr>
          <w:rFonts w:ascii="Palatino Linotype" w:hAnsi="Palatino Linotype" w:cs="Times New Roman"/>
          <w:iCs/>
          <w:color w:val="000000"/>
        </w:rPr>
        <w:t>Legitimacy of WTO Dispute Settlement</w:t>
      </w:r>
      <w:r w:rsidRPr="00F80707">
        <w:rPr>
          <w:rFonts w:ascii="Palatino Linotype" w:hAnsi="Palatino Linotype" w:cs="Times New Roman"/>
          <w:color w:val="000000"/>
        </w:rPr>
        <w:t xml:space="preserve">. </w:t>
      </w:r>
      <w:r w:rsidRPr="00631E19">
        <w:rPr>
          <w:rFonts w:ascii="Palatino Linotype" w:hAnsi="Palatino Linotype" w:cs="Times New Roman"/>
          <w:i/>
          <w:color w:val="000000"/>
        </w:rPr>
        <w:t>Harvard Jean Monnet Working Paper</w:t>
      </w:r>
      <w:r w:rsidRPr="00F80707">
        <w:rPr>
          <w:rFonts w:ascii="Palatino Linotype" w:hAnsi="Palatino Linotype" w:cs="Times New Roman"/>
          <w:color w:val="000000"/>
        </w:rPr>
        <w:t xml:space="preserve"> </w:t>
      </w:r>
      <w:r w:rsidR="00631E19">
        <w:rPr>
          <w:rFonts w:ascii="Palatino Linotype" w:hAnsi="Palatino Linotype" w:cs="Times New Roman"/>
          <w:color w:val="000000"/>
        </w:rPr>
        <w:t xml:space="preserve">[online] </w:t>
      </w:r>
      <w:r w:rsidR="00D156EA">
        <w:rPr>
          <w:rFonts w:ascii="Palatino Linotype" w:hAnsi="Palatino Linotype" w:cs="Times New Roman"/>
          <w:color w:val="000000"/>
        </w:rPr>
        <w:t xml:space="preserve">No. </w:t>
      </w:r>
      <w:r w:rsidRPr="00F80707">
        <w:rPr>
          <w:rFonts w:ascii="Palatino Linotype" w:hAnsi="Palatino Linotype" w:cs="Times New Roman"/>
          <w:color w:val="000000"/>
        </w:rPr>
        <w:t>9/00.</w:t>
      </w:r>
      <w:r w:rsidR="00CD4980">
        <w:rPr>
          <w:rFonts w:ascii="Palatino Linotype" w:hAnsi="Palatino Linotype" w:cs="Times New Roman"/>
          <w:color w:val="000000"/>
        </w:rPr>
        <w:t xml:space="preserve"> </w:t>
      </w:r>
      <w:r w:rsidR="00D156EA">
        <w:rPr>
          <w:rFonts w:ascii="Palatino Linotype" w:hAnsi="Palatino Linotype" w:cs="Times New Roman"/>
        </w:rPr>
        <w:t>Av</w:t>
      </w:r>
      <w:r w:rsidR="00631E19">
        <w:rPr>
          <w:rFonts w:ascii="Palatino Linotype" w:hAnsi="Palatino Linotype" w:cs="Times New Roman"/>
        </w:rPr>
        <w:t>ailable at</w:t>
      </w:r>
      <w:r w:rsidR="00D156EA">
        <w:rPr>
          <w:rFonts w:ascii="Palatino Linotype" w:hAnsi="Palatino Linotype" w:cs="Times New Roman"/>
        </w:rPr>
        <w:t>:</w:t>
      </w:r>
      <w:r w:rsidR="00631E19">
        <w:rPr>
          <w:rFonts w:ascii="Palatino Linotype" w:hAnsi="Palatino Linotype" w:cs="Times New Roman"/>
        </w:rPr>
        <w:t xml:space="preserve"> </w:t>
      </w:r>
      <w:r w:rsidR="00631E19" w:rsidRPr="00631E19">
        <w:rPr>
          <w:rFonts w:ascii="Palatino Linotype" w:hAnsi="Palatino Linotype" w:cs="Times New Roman"/>
        </w:rPr>
        <w:t>jeanmonnetprogram.org/archive/papers/00/000901-01.html</w:t>
      </w:r>
      <w:r w:rsidR="006831D4">
        <w:rPr>
          <w:rFonts w:ascii="Palatino Linotype" w:hAnsi="Palatino Linotype" w:cs="Times New Roman"/>
          <w:color w:val="000000"/>
        </w:rPr>
        <w:t xml:space="preserve"> [</w:t>
      </w:r>
      <w:r w:rsidR="00631E19">
        <w:rPr>
          <w:rFonts w:ascii="Palatino Linotype" w:hAnsi="Palatino Linotype" w:cs="Times New Roman"/>
          <w:color w:val="000000"/>
        </w:rPr>
        <w:t>Accessed 16 Jan. 2016</w:t>
      </w:r>
      <w:r w:rsidR="006831D4">
        <w:rPr>
          <w:rFonts w:ascii="Palatino Linotype" w:hAnsi="Palatino Linotype" w:cs="Times New Roman"/>
          <w:color w:val="000000"/>
        </w:rPr>
        <w:t>]</w:t>
      </w:r>
      <w:r w:rsidRPr="00F80707">
        <w:rPr>
          <w:rFonts w:ascii="Palatino Linotype" w:hAnsi="Palatino Linotype" w:cs="Times New Roman"/>
          <w:color w:val="000000"/>
        </w:rPr>
        <w:t>.</w:t>
      </w:r>
    </w:p>
    <w:p w14:paraId="4D6039A5" w14:textId="77777777" w:rsidR="00D156EA" w:rsidRDefault="00D156EA" w:rsidP="00CD4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06B2AD0D" w14:textId="77777777" w:rsidR="00354D7E" w:rsidRDefault="00354D7E">
      <w:pPr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br w:type="page"/>
      </w:r>
    </w:p>
    <w:p w14:paraId="4A193E75" w14:textId="62F25BA5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2.6.5</w:t>
      </w:r>
      <w:r w:rsidR="00CD4980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Journals</w:t>
      </w:r>
    </w:p>
    <w:p w14:paraId="457DF4DB" w14:textId="77777777" w:rsidR="00073EA5" w:rsidRDefault="00700BF7" w:rsidP="00073EA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The references to journals are similar to the books, although it is the name of the journal rather than</w:t>
      </w:r>
      <w:r w:rsidR="00073EA5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the name of the article</w:t>
      </w:r>
      <w:r w:rsidR="005E3F95">
        <w:rPr>
          <w:rFonts w:ascii="Palatino Linotype" w:hAnsi="Palatino Linotype" w:cs="Times New Roman"/>
          <w:color w:val="000000"/>
        </w:rPr>
        <w:t>,</w:t>
      </w:r>
      <w:r w:rsidRPr="00F80707">
        <w:rPr>
          <w:rFonts w:ascii="Palatino Linotype" w:hAnsi="Palatino Linotype" w:cs="Times New Roman"/>
          <w:color w:val="000000"/>
        </w:rPr>
        <w:t xml:space="preserve"> which should be in italics. Some of the legal journals are using abbreviations</w:t>
      </w:r>
      <w:r w:rsidR="00073EA5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for the referencing</w:t>
      </w:r>
      <w:r w:rsidR="005E3F95">
        <w:rPr>
          <w:rFonts w:ascii="Palatino Linotype" w:hAnsi="Palatino Linotype" w:cs="Times New Roman"/>
          <w:color w:val="000000"/>
        </w:rPr>
        <w:t>,</w:t>
      </w:r>
      <w:r w:rsidRPr="00F80707">
        <w:rPr>
          <w:rFonts w:ascii="Palatino Linotype" w:hAnsi="Palatino Linotype" w:cs="Times New Roman"/>
          <w:color w:val="000000"/>
        </w:rPr>
        <w:t xml:space="preserve"> which should be respected, such as Harv. L. Rev (Harvard Law Review), E.L.Rev.</w:t>
      </w:r>
      <w:r w:rsidR="00073EA5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(European Law Review), RTD eur. </w:t>
      </w:r>
      <w:r w:rsidRPr="00073EA5">
        <w:rPr>
          <w:rFonts w:ascii="Palatino Linotype" w:hAnsi="Palatino Linotype" w:cs="Times New Roman"/>
          <w:color w:val="000000"/>
          <w:lang w:val="de-DE"/>
        </w:rPr>
        <w:t>(Revue trimestrielle du droit européen), JAP (Zeitschrift für</w:t>
      </w:r>
      <w:r w:rsidR="00073EA5" w:rsidRPr="00073EA5">
        <w:rPr>
          <w:rFonts w:ascii="Palatino Linotype" w:hAnsi="Palatino Linotype" w:cs="Times New Roman"/>
          <w:color w:val="000000"/>
          <w:lang w:val="de-DE"/>
        </w:rPr>
        <w:t xml:space="preserve"> </w:t>
      </w:r>
      <w:r w:rsidRPr="00073EA5">
        <w:rPr>
          <w:rFonts w:ascii="Palatino Linotype" w:hAnsi="Palatino Linotype" w:cs="Times New Roman"/>
          <w:color w:val="000000"/>
          <w:lang w:val="de-DE"/>
        </w:rPr>
        <w:t xml:space="preserve">Juristische Ausbildung und Praxisvorbereitung). </w:t>
      </w:r>
      <w:r w:rsidRPr="00F80707">
        <w:rPr>
          <w:rFonts w:ascii="Palatino Linotype" w:hAnsi="Palatino Linotype" w:cs="Times New Roman"/>
          <w:color w:val="000000"/>
        </w:rPr>
        <w:t>The examples of references are as follows:</w:t>
      </w:r>
    </w:p>
    <w:p w14:paraId="0C27540C" w14:textId="77777777" w:rsidR="00073EA5" w:rsidRDefault="00073EA5" w:rsidP="00073EA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E2155C" w:rsidRPr="004A10D6" w14:paraId="5677D72E" w14:textId="77777777" w:rsidTr="00F02C4E">
        <w:trPr>
          <w:trHeight w:val="427"/>
        </w:trPr>
        <w:tc>
          <w:tcPr>
            <w:tcW w:w="8613" w:type="dxa"/>
          </w:tcPr>
          <w:p w14:paraId="5BD005B5" w14:textId="5AD34C69" w:rsidR="00E2155C" w:rsidRPr="004A10D6" w:rsidRDefault="00E2155C" w:rsidP="00C85A4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>Rasmussen, H.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 xml:space="preserve"> (2000).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 xml:space="preserve"> Remedying the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 xml:space="preserve"> Crumbling EC Judicial System. 3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 xml:space="preserve">7 </w:t>
            </w:r>
            <w:r w:rsidRPr="004A10D6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C.M.L.Rev. 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>1071</w:t>
            </w:r>
            <w:r w:rsidR="000E023C">
              <w:rPr>
                <w:rFonts w:ascii="Palatino Linotype" w:hAnsi="Palatino Linotype" w:cs="Times New Roman"/>
                <w:color w:val="000000"/>
                <w:sz w:val="20"/>
              </w:rPr>
              <w:t>.</w:t>
            </w:r>
          </w:p>
        </w:tc>
      </w:tr>
      <w:tr w:rsidR="00E2155C" w:rsidRPr="004A10D6" w14:paraId="281253DA" w14:textId="77777777" w:rsidTr="004A10D6">
        <w:trPr>
          <w:trHeight w:val="397"/>
        </w:trPr>
        <w:tc>
          <w:tcPr>
            <w:tcW w:w="8613" w:type="dxa"/>
          </w:tcPr>
          <w:p w14:paraId="4E86E52A" w14:textId="2A10A6F8" w:rsidR="00E2155C" w:rsidRPr="004A10D6" w:rsidRDefault="00E2155C" w:rsidP="00C85A4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>Toner, H.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 xml:space="preserve"> (1997).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 xml:space="preserve"> Thinking the Unthinkable? State Liability for Judicial 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>Acts after Factortame (III)</w:t>
            </w:r>
            <w:r w:rsidR="00F02C4E">
              <w:rPr>
                <w:rFonts w:ascii="Palatino Linotype" w:hAnsi="Palatino Linotype" w:cs="Times New Roman"/>
                <w:color w:val="000000"/>
                <w:sz w:val="20"/>
              </w:rPr>
              <w:t xml:space="preserve">. 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 xml:space="preserve">17 </w:t>
            </w:r>
            <w:r w:rsidRPr="004A10D6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Yearbook of European Law 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</w:rPr>
              <w:t>165.</w:t>
            </w:r>
          </w:p>
        </w:tc>
      </w:tr>
    </w:tbl>
    <w:p w14:paraId="622792A2" w14:textId="77777777" w:rsidR="00073EA5" w:rsidRPr="00F80707" w:rsidRDefault="00073EA5" w:rsidP="00073EA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233132C9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 xml:space="preserve">2.6.6 </w:t>
      </w:r>
      <w:r w:rsidRPr="00F80707">
        <w:rPr>
          <w:rFonts w:ascii="Palatino Linotype" w:hAnsi="Palatino Linotype" w:cs="Times New Roman"/>
          <w:b/>
          <w:bCs/>
          <w:color w:val="000000"/>
        </w:rPr>
        <w:t>Legislation</w:t>
      </w:r>
    </w:p>
    <w:p w14:paraId="31760C02" w14:textId="77777777" w:rsidR="00700BF7" w:rsidRPr="00F80707" w:rsidRDefault="00296865" w:rsidP="002968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As for</w:t>
      </w:r>
      <w:r w:rsidR="00700BF7" w:rsidRPr="00F80707">
        <w:rPr>
          <w:rFonts w:ascii="Palatino Linotype" w:hAnsi="Palatino Linotype" w:cs="Times New Roman"/>
          <w:color w:val="000000"/>
        </w:rPr>
        <w:t xml:space="preserve"> references to the legislation, it is necessary to follow the manner of referencing</w:t>
      </w:r>
      <w:r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>applied in the relevant jurisdiction. The examples of references are as follows:</w:t>
      </w:r>
    </w:p>
    <w:p w14:paraId="18B76B0A" w14:textId="77777777" w:rsidR="00296865" w:rsidRDefault="00296865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A10D6" w:rsidRPr="004A10D6" w14:paraId="36203C0E" w14:textId="77777777" w:rsidTr="00754110">
        <w:trPr>
          <w:trHeight w:val="445"/>
        </w:trPr>
        <w:tc>
          <w:tcPr>
            <w:tcW w:w="8613" w:type="dxa"/>
          </w:tcPr>
          <w:p w14:paraId="4F922EF5" w14:textId="77273D86" w:rsidR="004A10D6" w:rsidRPr="004A10D6" w:rsidRDefault="00754110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</w:rPr>
              <w:t>s. 6 of the Companies Act 1985</w:t>
            </w:r>
            <w:r w:rsidR="000E023C">
              <w:rPr>
                <w:rFonts w:ascii="Palatino Linotype" w:hAnsi="Palatino Linotype" w:cs="Times New Roman"/>
                <w:color w:val="000000"/>
                <w:sz w:val="20"/>
              </w:rPr>
              <w:t>.</w:t>
            </w:r>
          </w:p>
        </w:tc>
      </w:tr>
      <w:tr w:rsidR="004A10D6" w:rsidRPr="004A10D6" w14:paraId="35061437" w14:textId="77777777" w:rsidTr="00754110">
        <w:trPr>
          <w:trHeight w:val="677"/>
        </w:trPr>
        <w:tc>
          <w:tcPr>
            <w:tcW w:w="8613" w:type="dxa"/>
          </w:tcPr>
          <w:p w14:paraId="0DACB0C4" w14:textId="3770254E" w:rsidR="004A10D6" w:rsidRPr="004A10D6" w:rsidRDefault="004A10D6" w:rsidP="00631E1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</w:pPr>
            <w:r w:rsidRPr="004A10D6">
              <w:rPr>
                <w:rFonts w:ascii="Palatino Linotype" w:hAnsi="Palatino Linotype" w:cs="Times New Roman"/>
                <w:color w:val="000000"/>
                <w:sz w:val="20"/>
                <w:lang w:val="de-DE"/>
              </w:rPr>
              <w:t xml:space="preserve">s. 7 of Verwaltungsgerichtsordnung (VwGO) vom 21. Januar 1960 (BGBl. I, S. 17), zuletzt geändert durch Gesetz vom 31. August 1998 (BGBl. </w:t>
            </w:r>
            <w:r w:rsidRPr="004A10D6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I, S. 2600)</w:t>
            </w:r>
            <w:r w:rsidR="000E023C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.</w:t>
            </w:r>
          </w:p>
        </w:tc>
      </w:tr>
      <w:tr w:rsidR="004A10D6" w:rsidRPr="004A10D6" w14:paraId="19B5E7E9" w14:textId="77777777" w:rsidTr="00754110">
        <w:trPr>
          <w:trHeight w:val="1552"/>
        </w:trPr>
        <w:tc>
          <w:tcPr>
            <w:tcW w:w="8613" w:type="dxa"/>
          </w:tcPr>
          <w:p w14:paraId="4542409F" w14:textId="060E310E" w:rsidR="004A10D6" w:rsidRPr="004A10D6" w:rsidRDefault="004A10D6" w:rsidP="00631E1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</w:pPr>
            <w:r w:rsidRPr="004A10D6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s. 1 of Décret n° 2002-387 du 20 mars 2002 modifiant le décret n° 2001-1004 du 2 novembre 2001 relatif à l'attribution d'une prime de sujétions spéciales à certains personnels des services déconcentrés de l'administration pénitentiaire, J.O. n° 70 du 23 mars 2002 page 5170, Art. 1 of Commission Regulation (EC) No 622/2003 of 4 April 2003 laying down measures for the implementation of the common basic standards on aviation security [2003] O.J. L48/9</w:t>
            </w:r>
            <w:r w:rsidR="000E023C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.</w:t>
            </w:r>
          </w:p>
        </w:tc>
      </w:tr>
      <w:tr w:rsidR="004A10D6" w:rsidRPr="004A10D6" w14:paraId="61155D19" w14:textId="77777777" w:rsidTr="00754110">
        <w:trPr>
          <w:trHeight w:val="340"/>
        </w:trPr>
        <w:tc>
          <w:tcPr>
            <w:tcW w:w="8613" w:type="dxa"/>
          </w:tcPr>
          <w:p w14:paraId="728E8871" w14:textId="77777777" w:rsidR="004A10D6" w:rsidRPr="004A10D6" w:rsidRDefault="004A10D6" w:rsidP="00631E1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</w:pPr>
            <w:r w:rsidRPr="004A10D6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s. 3 of Zákon č. 131/2002 Sb., o rozhodování některých kompetenčních sporů, ve znění pozdějších předpisů.</w:t>
            </w:r>
          </w:p>
        </w:tc>
      </w:tr>
    </w:tbl>
    <w:p w14:paraId="0BA16047" w14:textId="77777777" w:rsidR="00E2155C" w:rsidRPr="00E2155C" w:rsidRDefault="00E2155C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lang w:val="fr-FR"/>
        </w:rPr>
      </w:pPr>
    </w:p>
    <w:p w14:paraId="48F72F40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 xml:space="preserve">2.6.7 </w:t>
      </w:r>
      <w:r w:rsidRPr="00F80707">
        <w:rPr>
          <w:rFonts w:ascii="Palatino Linotype" w:hAnsi="Palatino Linotype" w:cs="Times New Roman"/>
          <w:b/>
          <w:bCs/>
          <w:color w:val="000000"/>
        </w:rPr>
        <w:t>Case law</w:t>
      </w:r>
    </w:p>
    <w:p w14:paraId="4DDC9193" w14:textId="77777777" w:rsidR="00E2155C" w:rsidRDefault="00E2155C" w:rsidP="00E215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As for</w:t>
      </w:r>
      <w:r w:rsidR="00700BF7" w:rsidRPr="00F80707">
        <w:rPr>
          <w:rFonts w:ascii="Palatino Linotype" w:hAnsi="Palatino Linotype" w:cs="Times New Roman"/>
          <w:color w:val="000000"/>
        </w:rPr>
        <w:t xml:space="preserve"> references to case law, it is necessary to follow the manner of referencing</w:t>
      </w:r>
      <w:r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>applied in the relevant jurisdiction.</w:t>
      </w:r>
      <w:r w:rsidR="009E3A0A">
        <w:rPr>
          <w:rStyle w:val="Znakapoznpodarou"/>
          <w:rFonts w:ascii="Palatino Linotype" w:hAnsi="Palatino Linotype" w:cs="Times New Roman"/>
          <w:color w:val="000000"/>
        </w:rPr>
        <w:footnoteReference w:id="2"/>
      </w:r>
      <w:r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>If a case is divided into paragraphs/side letters (or pages) (which is generally not the case of</w:t>
      </w:r>
      <w:r>
        <w:rPr>
          <w:rFonts w:ascii="Palatino Linotype" w:hAnsi="Palatino Linotype" w:cs="Times New Roman"/>
          <w:color w:val="000000"/>
        </w:rPr>
        <w:t xml:space="preserve"> </w:t>
      </w:r>
      <w:r w:rsidR="00700BF7" w:rsidRPr="00F80707">
        <w:rPr>
          <w:rFonts w:ascii="Palatino Linotype" w:hAnsi="Palatino Linotype" w:cs="Times New Roman"/>
          <w:color w:val="000000"/>
        </w:rPr>
        <w:t>Czech case law), it is also necessary to insert a reference to them!</w:t>
      </w:r>
    </w:p>
    <w:p w14:paraId="21C9A0C0" w14:textId="77777777" w:rsidR="00E2155C" w:rsidRDefault="00E2155C" w:rsidP="00E215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4F28B240" w14:textId="77777777" w:rsidR="00700BF7" w:rsidRDefault="00700BF7" w:rsidP="00E215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u w:val="single"/>
        </w:rPr>
      </w:pPr>
      <w:r w:rsidRPr="009E3A0A">
        <w:rPr>
          <w:rFonts w:ascii="Palatino Linotype" w:hAnsi="Palatino Linotype" w:cs="Times New Roman"/>
          <w:color w:val="000000"/>
          <w:u w:val="single"/>
        </w:rPr>
        <w:t>English case law – citation of case reports (Proprietary Citation)</w:t>
      </w:r>
    </w:p>
    <w:p w14:paraId="674B2C8C" w14:textId="77777777" w:rsidR="00156CDA" w:rsidRPr="009E3A0A" w:rsidRDefault="00156CDA" w:rsidP="00E2155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u w:val="single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465498" w:rsidRPr="00465498" w14:paraId="7038BA4B" w14:textId="77777777" w:rsidTr="00156CDA">
        <w:tc>
          <w:tcPr>
            <w:tcW w:w="1985" w:type="dxa"/>
          </w:tcPr>
          <w:p w14:paraId="49F8D4E5" w14:textId="77777777" w:rsidR="00465498" w:rsidRPr="00465498" w:rsidRDefault="00465498" w:rsidP="00465498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</w:rPr>
              <w:t>Civil cases:</w:t>
            </w:r>
          </w:p>
        </w:tc>
        <w:tc>
          <w:tcPr>
            <w:tcW w:w="6628" w:type="dxa"/>
          </w:tcPr>
          <w:p w14:paraId="6A0C2D74" w14:textId="77777777" w:rsidR="00465498" w:rsidRDefault="00465498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65498">
              <w:rPr>
                <w:rFonts w:ascii="Palatino Linotype" w:hAnsi="Palatino Linotype" w:cs="Times New Roman"/>
                <w:color w:val="000000"/>
                <w:sz w:val="20"/>
              </w:rPr>
              <w:t>Booth v Phillips [2004] 1 WLR 3292, at 10</w:t>
            </w:r>
          </w:p>
        </w:tc>
      </w:tr>
      <w:tr w:rsidR="00465498" w:rsidRPr="00465498" w14:paraId="3501417B" w14:textId="77777777" w:rsidTr="00156CDA">
        <w:tc>
          <w:tcPr>
            <w:tcW w:w="1985" w:type="dxa"/>
          </w:tcPr>
          <w:p w14:paraId="4B4FB273" w14:textId="77777777" w:rsidR="00465498" w:rsidRPr="00465498" w:rsidRDefault="00465498" w:rsidP="00465498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65498">
              <w:rPr>
                <w:rFonts w:ascii="Palatino Linotype" w:hAnsi="Palatino Linotype" w:cs="Times New Roman"/>
                <w:color w:val="000000"/>
                <w:sz w:val="20"/>
              </w:rPr>
              <w:t xml:space="preserve">Criminal cases: </w:t>
            </w:r>
          </w:p>
        </w:tc>
        <w:tc>
          <w:tcPr>
            <w:tcW w:w="6628" w:type="dxa"/>
          </w:tcPr>
          <w:p w14:paraId="4B7DD27F" w14:textId="77777777" w:rsidR="00465498" w:rsidRPr="00465498" w:rsidRDefault="00465498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65498">
              <w:rPr>
                <w:rFonts w:ascii="Palatino Linotype" w:hAnsi="Palatino Linotype" w:cs="Times New Roman"/>
                <w:color w:val="000000"/>
                <w:sz w:val="20"/>
              </w:rPr>
              <w:t>R v Dica [2004] QB 1257, at 5</w:t>
            </w:r>
          </w:p>
        </w:tc>
      </w:tr>
      <w:tr w:rsidR="00465498" w:rsidRPr="00465498" w14:paraId="732A51AD" w14:textId="77777777" w:rsidTr="00156CDA">
        <w:tc>
          <w:tcPr>
            <w:tcW w:w="1985" w:type="dxa"/>
          </w:tcPr>
          <w:p w14:paraId="0C39E261" w14:textId="77777777" w:rsidR="00465498" w:rsidRPr="00465498" w:rsidRDefault="00465498" w:rsidP="00465498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65498">
              <w:rPr>
                <w:rFonts w:ascii="Palatino Linotype" w:hAnsi="Palatino Linotype" w:cs="Times New Roman"/>
                <w:color w:val="000000"/>
                <w:sz w:val="20"/>
              </w:rPr>
              <w:t xml:space="preserve">Judicial Review: </w:t>
            </w:r>
          </w:p>
        </w:tc>
        <w:tc>
          <w:tcPr>
            <w:tcW w:w="6628" w:type="dxa"/>
          </w:tcPr>
          <w:p w14:paraId="23AE5CC9" w14:textId="77777777" w:rsidR="00465498" w:rsidRPr="00465498" w:rsidRDefault="00465498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465498">
              <w:rPr>
                <w:rFonts w:ascii="Palatino Linotype" w:hAnsi="Palatino Linotype" w:cs="Times New Roman"/>
                <w:color w:val="000000"/>
                <w:sz w:val="20"/>
              </w:rPr>
              <w:t>R (</w:t>
            </w:r>
            <w:r w:rsidR="005E3F95" w:rsidRPr="00465498">
              <w:rPr>
                <w:rFonts w:ascii="Palatino Linotype" w:hAnsi="Palatino Linotype" w:cs="Times New Roman"/>
                <w:color w:val="000000"/>
                <w:sz w:val="20"/>
              </w:rPr>
              <w:t>Williamson</w:t>
            </w:r>
            <w:r w:rsidRPr="00465498">
              <w:rPr>
                <w:rFonts w:ascii="Palatino Linotype" w:hAnsi="Palatino Linotype" w:cs="Times New Roman"/>
                <w:color w:val="000000"/>
                <w:sz w:val="20"/>
              </w:rPr>
              <w:t xml:space="preserve"> and others) v Secretary of State for Education and Employment [2005] 2 A C 246, at 6-10</w:t>
            </w:r>
          </w:p>
        </w:tc>
      </w:tr>
    </w:tbl>
    <w:p w14:paraId="398C3EB4" w14:textId="77777777" w:rsidR="00156CDA" w:rsidRDefault="00156CDA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544E45BF" w14:textId="77777777" w:rsidR="00156CDA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156CDA">
        <w:rPr>
          <w:rFonts w:ascii="Palatino Linotype" w:hAnsi="Palatino Linotype" w:cs="Times New Roman"/>
          <w:color w:val="000000"/>
          <w:u w:val="single"/>
        </w:rPr>
        <w:t>English case law - medium neutral citation</w:t>
      </w:r>
    </w:p>
    <w:p w14:paraId="59D69FBB" w14:textId="77777777" w:rsidR="009A6158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(introduced by Practice Note of Lord Woolf CJ on</w:t>
      </w:r>
      <w:r w:rsidR="00156CDA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11 January 2001)</w:t>
      </w:r>
    </w:p>
    <w:p w14:paraId="19BA9FA1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1. party names, 2. year, 3. abbreviation of the court, 4. number of the case, 5. abbreviation of</w:t>
      </w:r>
    </w:p>
    <w:p w14:paraId="278A9D09" w14:textId="77777777" w:rsidR="00156CDA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the division of the court (if not included before the number of the case).</w:t>
      </w:r>
    </w:p>
    <w:p w14:paraId="0BB728EE" w14:textId="77777777" w:rsidR="00700BF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Examples are as</w:t>
      </w:r>
      <w:r w:rsidR="00156CDA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follows:</w:t>
      </w:r>
    </w:p>
    <w:p w14:paraId="0CA9F0F4" w14:textId="77777777" w:rsidR="005665F9" w:rsidRPr="00F80707" w:rsidRDefault="005665F9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156CDA" w:rsidRPr="00156CDA" w14:paraId="467B143D" w14:textId="77777777" w:rsidTr="00156CDA">
        <w:tc>
          <w:tcPr>
            <w:tcW w:w="8613" w:type="dxa"/>
          </w:tcPr>
          <w:p w14:paraId="6E8D86D9" w14:textId="77777777" w:rsidR="00156CDA" w:rsidRPr="00156CDA" w:rsidRDefault="00156CDA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156CDA">
              <w:rPr>
                <w:rFonts w:ascii="Palatino Linotype" w:hAnsi="Palatino Linotype" w:cs="Times New Roman"/>
                <w:color w:val="000000"/>
                <w:sz w:val="20"/>
              </w:rPr>
              <w:t>Aaron v Shelton [2004] EWHC 1162 (QB), at 5</w:t>
            </w:r>
          </w:p>
        </w:tc>
      </w:tr>
      <w:tr w:rsidR="00156CDA" w:rsidRPr="00156CDA" w14:paraId="56E842E0" w14:textId="77777777" w:rsidTr="00156CDA">
        <w:tc>
          <w:tcPr>
            <w:tcW w:w="8613" w:type="dxa"/>
          </w:tcPr>
          <w:p w14:paraId="7AC44717" w14:textId="77777777" w:rsidR="00156CDA" w:rsidRPr="00156CDA" w:rsidRDefault="00156CDA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156CDA">
              <w:rPr>
                <w:rFonts w:ascii="Palatino Linotype" w:hAnsi="Palatino Linotype" w:cs="Times New Roman"/>
                <w:color w:val="000000"/>
                <w:sz w:val="20"/>
              </w:rPr>
              <w:t>Eyeson v Milton Keynes CC [2005] EWHC 1160, at 7</w:t>
            </w:r>
          </w:p>
        </w:tc>
      </w:tr>
      <w:tr w:rsidR="00156CDA" w:rsidRPr="00156CDA" w14:paraId="55DD9321" w14:textId="77777777" w:rsidTr="00156CDA">
        <w:tc>
          <w:tcPr>
            <w:tcW w:w="8613" w:type="dxa"/>
          </w:tcPr>
          <w:p w14:paraId="275A7F97" w14:textId="77777777" w:rsidR="00156CDA" w:rsidRPr="00156CDA" w:rsidRDefault="00156CDA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156CDA">
              <w:rPr>
                <w:rFonts w:ascii="Palatino Linotype" w:hAnsi="Palatino Linotype" w:cs="Times New Roman"/>
                <w:color w:val="000000"/>
                <w:sz w:val="20"/>
              </w:rPr>
              <w:t>Marcic v Thames Water Utilities Ltd [2002] EWCA Civ 64, at 8</w:t>
            </w:r>
          </w:p>
        </w:tc>
      </w:tr>
      <w:tr w:rsidR="00156CDA" w:rsidRPr="00DA2A4C" w14:paraId="4347750C" w14:textId="77777777" w:rsidTr="00156CDA">
        <w:tc>
          <w:tcPr>
            <w:tcW w:w="8613" w:type="dxa"/>
          </w:tcPr>
          <w:p w14:paraId="30623992" w14:textId="77777777" w:rsidR="00156CDA" w:rsidRPr="00156CDA" w:rsidRDefault="00156CDA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  <w:lang w:val="de-DE"/>
              </w:rPr>
            </w:pPr>
            <w:r w:rsidRPr="00156CDA">
              <w:rPr>
                <w:rFonts w:ascii="Palatino Linotype" w:hAnsi="Palatino Linotype" w:cs="Times New Roman"/>
                <w:color w:val="000000"/>
                <w:sz w:val="20"/>
                <w:lang w:val="de-DE"/>
              </w:rPr>
              <w:t>R v Dietschmann [2003] UKHL 10, at 7</w:t>
            </w:r>
          </w:p>
        </w:tc>
      </w:tr>
    </w:tbl>
    <w:p w14:paraId="2762337D" w14:textId="77777777" w:rsidR="005665F9" w:rsidRPr="00366BC2" w:rsidRDefault="005665F9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lang w:val="de-DE"/>
        </w:rPr>
      </w:pPr>
    </w:p>
    <w:p w14:paraId="7D5E0BFC" w14:textId="77777777" w:rsidR="00700BF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  <w:r w:rsidRPr="005665F9">
        <w:rPr>
          <w:rFonts w:ascii="Palatino Linotype" w:hAnsi="Palatino Linotype" w:cs="Times New Roman"/>
          <w:color w:val="000000"/>
          <w:u w:val="single"/>
        </w:rPr>
        <w:t>ECJ case law</w:t>
      </w:r>
    </w:p>
    <w:p w14:paraId="1BFED0FD" w14:textId="77777777" w:rsidR="00692761" w:rsidRPr="005665F9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28"/>
      </w:tblGrid>
      <w:tr w:rsidR="005665F9" w:rsidRPr="00C9462B" w14:paraId="4F76F9C4" w14:textId="77777777" w:rsidTr="005665F9">
        <w:tc>
          <w:tcPr>
            <w:tcW w:w="1985" w:type="dxa"/>
          </w:tcPr>
          <w:p w14:paraId="19A438ED" w14:textId="77777777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>Before 1990</w:t>
            </w:r>
          </w:p>
        </w:tc>
        <w:tc>
          <w:tcPr>
            <w:tcW w:w="6628" w:type="dxa"/>
          </w:tcPr>
          <w:p w14:paraId="4C28ACB8" w14:textId="22A8544B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Case 113/80 </w:t>
            </w:r>
            <w:r w:rsidRPr="00C9462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Commission 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v </w:t>
            </w:r>
            <w:r w:rsidRPr="00C9462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Ireland 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[1981] </w:t>
            </w:r>
            <w:r w:rsidR="00631E19" w:rsidRPr="00631E19">
              <w:rPr>
                <w:rFonts w:ascii="Palatino Linotype" w:hAnsi="Palatino Linotype" w:cs="Times New Roman"/>
                <w:color w:val="000000"/>
                <w:sz w:val="20"/>
              </w:rPr>
              <w:t>ECLI:EU:C:1981:139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, </w:t>
            </w:r>
            <w:r w:rsidR="00631E19">
              <w:rPr>
                <w:rFonts w:ascii="Palatino Linotype" w:hAnsi="Palatino Linotype" w:cs="Times New Roman"/>
                <w:color w:val="000000"/>
                <w:sz w:val="20"/>
              </w:rPr>
              <w:br/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>paragraph 11</w:t>
            </w:r>
          </w:p>
        </w:tc>
      </w:tr>
      <w:tr w:rsidR="005665F9" w:rsidRPr="00C9462B" w14:paraId="357CED40" w14:textId="77777777" w:rsidTr="005665F9">
        <w:tc>
          <w:tcPr>
            <w:tcW w:w="1985" w:type="dxa"/>
          </w:tcPr>
          <w:p w14:paraId="2258B5C3" w14:textId="77777777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>After 1990</w:t>
            </w:r>
          </w:p>
        </w:tc>
        <w:tc>
          <w:tcPr>
            <w:tcW w:w="6628" w:type="dxa"/>
          </w:tcPr>
          <w:p w14:paraId="4041C059" w14:textId="77777777" w:rsidR="005665F9" w:rsidRPr="00C9462B" w:rsidRDefault="005665F9" w:rsidP="00366BC2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Case T-504/93 </w:t>
            </w:r>
            <w:r w:rsidRPr="00C9462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Tiercé Ladbroke v. Commission 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[1997] </w:t>
            </w:r>
            <w:r w:rsidR="00040850">
              <w:rPr>
                <w:rFonts w:ascii="Palatino Linotype" w:hAnsi="Palatino Linotype" w:cs="Times New Roman"/>
                <w:color w:val="000000"/>
                <w:sz w:val="20"/>
              </w:rPr>
              <w:br/>
            </w:r>
            <w:r w:rsidR="00040850" w:rsidRPr="00040850">
              <w:rPr>
                <w:rFonts w:ascii="Palatino Linotype" w:hAnsi="Palatino Linotype" w:cs="Times New Roman"/>
                <w:color w:val="000000"/>
                <w:sz w:val="20"/>
              </w:rPr>
              <w:t>ECLI:EU:T:1997:84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>, paragraph 24</w:t>
            </w:r>
          </w:p>
        </w:tc>
      </w:tr>
      <w:tr w:rsidR="005665F9" w:rsidRPr="00C9462B" w14:paraId="00E4148E" w14:textId="77777777" w:rsidTr="005665F9">
        <w:tc>
          <w:tcPr>
            <w:tcW w:w="1985" w:type="dxa"/>
          </w:tcPr>
          <w:p w14:paraId="14A67EB4" w14:textId="77777777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</w:p>
        </w:tc>
        <w:tc>
          <w:tcPr>
            <w:tcW w:w="6628" w:type="dxa"/>
          </w:tcPr>
          <w:p w14:paraId="525779AF" w14:textId="77777777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Case C-2/90 </w:t>
            </w:r>
            <w:r w:rsidRPr="00C9462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Commission 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v </w:t>
            </w:r>
            <w:r w:rsidRPr="00C9462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Belgium 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[1992] </w:t>
            </w:r>
            <w:r w:rsidR="00040850">
              <w:rPr>
                <w:rFonts w:ascii="Palatino Linotype" w:hAnsi="Palatino Linotype" w:cs="Times New Roman"/>
                <w:color w:val="000000"/>
                <w:sz w:val="20"/>
              </w:rPr>
              <w:br/>
            </w:r>
            <w:r w:rsidR="00040850" w:rsidRPr="00040850">
              <w:rPr>
                <w:rFonts w:ascii="Palatino Linotype" w:hAnsi="Palatino Linotype" w:cs="Times New Roman"/>
                <w:color w:val="000000"/>
                <w:sz w:val="20"/>
              </w:rPr>
              <w:t>ECLI:EU:C:1992:310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>, paragraph 24</w:t>
            </w:r>
          </w:p>
        </w:tc>
      </w:tr>
      <w:tr w:rsidR="005665F9" w:rsidRPr="00C9462B" w14:paraId="7EDD01FB" w14:textId="77777777" w:rsidTr="005665F9">
        <w:tc>
          <w:tcPr>
            <w:tcW w:w="1985" w:type="dxa"/>
          </w:tcPr>
          <w:p w14:paraId="48F5473B" w14:textId="77777777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</w:p>
        </w:tc>
        <w:tc>
          <w:tcPr>
            <w:tcW w:w="6628" w:type="dxa"/>
          </w:tcPr>
          <w:p w14:paraId="04BA6C65" w14:textId="77777777" w:rsidR="005665F9" w:rsidRPr="00C9462B" w:rsidRDefault="005665F9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Opinion of Advocate General </w:t>
            </w:r>
            <w:r w:rsidRPr="00C9462B">
              <w:rPr>
                <w:rFonts w:ascii="Palatino Linotype" w:hAnsi="Palatino Linotype" w:cs="Times New Roman"/>
                <w:smallCaps/>
                <w:color w:val="000000"/>
                <w:sz w:val="20"/>
              </w:rPr>
              <w:t>Tesauro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 in Case C-120/95 </w:t>
            </w:r>
            <w:r w:rsidRPr="00C9462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 xml:space="preserve">Decker </w:t>
            </w:r>
            <w:r w:rsidRPr="00C9462B">
              <w:rPr>
                <w:rFonts w:ascii="Palatino Linotype" w:hAnsi="Palatino Linotype" w:cs="Times New Roman"/>
                <w:color w:val="000000"/>
                <w:sz w:val="20"/>
              </w:rPr>
              <w:t xml:space="preserve">[1998] </w:t>
            </w:r>
            <w:r w:rsidR="00040850" w:rsidRPr="00040850">
              <w:rPr>
                <w:rFonts w:ascii="Palatino Linotype" w:hAnsi="Palatino Linotype" w:cs="Times New Roman"/>
                <w:color w:val="000000"/>
                <w:sz w:val="20"/>
              </w:rPr>
              <w:t>ECLI:EU:C:1997:399</w:t>
            </w:r>
            <w:r w:rsidR="00C9462B">
              <w:rPr>
                <w:rFonts w:ascii="Palatino Linotype" w:hAnsi="Palatino Linotype" w:cs="Times New Roman"/>
                <w:color w:val="000000"/>
                <w:sz w:val="20"/>
              </w:rPr>
              <w:t>, point 13</w:t>
            </w:r>
          </w:p>
        </w:tc>
      </w:tr>
    </w:tbl>
    <w:p w14:paraId="7FA1E939" w14:textId="77777777" w:rsidR="005665F9" w:rsidRDefault="005665F9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017D3768" w14:textId="77777777" w:rsidR="00700BF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  <w:r w:rsidRPr="00692761">
        <w:rPr>
          <w:rFonts w:ascii="Palatino Linotype" w:hAnsi="Palatino Linotype" w:cs="Times New Roman"/>
          <w:color w:val="000000"/>
          <w:u w:val="single"/>
        </w:rPr>
        <w:t>US case law</w:t>
      </w:r>
    </w:p>
    <w:p w14:paraId="3BC34276" w14:textId="77777777" w:rsidR="00692761" w:rsidRPr="00692761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92761" w:rsidRPr="00692761" w14:paraId="4C2DFCC8" w14:textId="77777777" w:rsidTr="00692761">
        <w:tc>
          <w:tcPr>
            <w:tcW w:w="8613" w:type="dxa"/>
          </w:tcPr>
          <w:p w14:paraId="4CD96CC1" w14:textId="77777777" w:rsidR="00692761" w:rsidRPr="00692761" w:rsidRDefault="00692761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  <w:lang w:val="es-ES_tradnl"/>
              </w:rPr>
            </w:pPr>
            <w:r w:rsidRPr="00692761">
              <w:rPr>
                <w:rFonts w:ascii="Palatino Linotype" w:hAnsi="Palatino Linotype" w:cs="Times New Roman"/>
                <w:color w:val="000000"/>
                <w:sz w:val="20"/>
                <w:lang w:val="es-ES_tradnl"/>
              </w:rPr>
              <w:t>Unocal Corp. v. Mesa Petroleum Co., 493 A.2d 946, 955 (Del. 1985)</w:t>
            </w:r>
          </w:p>
        </w:tc>
      </w:tr>
      <w:tr w:rsidR="00692761" w:rsidRPr="00692761" w14:paraId="1D76AF00" w14:textId="77777777" w:rsidTr="00692761">
        <w:tc>
          <w:tcPr>
            <w:tcW w:w="8613" w:type="dxa"/>
          </w:tcPr>
          <w:p w14:paraId="1B47683D" w14:textId="77777777" w:rsidR="00692761" w:rsidRPr="00692761" w:rsidRDefault="00692761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692761">
              <w:rPr>
                <w:rFonts w:ascii="Palatino Linotype" w:hAnsi="Palatino Linotype" w:cs="Times New Roman"/>
                <w:color w:val="000000"/>
                <w:sz w:val="20"/>
              </w:rPr>
              <w:t>Lowrance v. Patton, 710 P.2d 108, 111 (Okla. 1985)</w:t>
            </w:r>
          </w:p>
        </w:tc>
      </w:tr>
      <w:tr w:rsidR="00692761" w:rsidRPr="00692761" w14:paraId="23D30671" w14:textId="77777777" w:rsidTr="00692761">
        <w:tc>
          <w:tcPr>
            <w:tcW w:w="8613" w:type="dxa"/>
          </w:tcPr>
          <w:p w14:paraId="6D24475F" w14:textId="77777777" w:rsidR="00692761" w:rsidRPr="00692761" w:rsidRDefault="00692761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692761">
              <w:rPr>
                <w:rFonts w:ascii="Palatino Linotype" w:hAnsi="Palatino Linotype" w:cs="Times New Roman"/>
                <w:color w:val="000000"/>
                <w:sz w:val="20"/>
              </w:rPr>
              <w:t>Cede &amp; Co. v. Technicolor Inc., 634 A.2d 345 (Del. 1993)</w:t>
            </w:r>
          </w:p>
        </w:tc>
      </w:tr>
    </w:tbl>
    <w:p w14:paraId="71AAEB7F" w14:textId="77777777" w:rsidR="00692761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45196E28" w14:textId="77777777" w:rsidR="00700BF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  <w:r w:rsidRPr="00692761">
        <w:rPr>
          <w:rFonts w:ascii="Palatino Linotype" w:hAnsi="Palatino Linotype" w:cs="Times New Roman"/>
          <w:color w:val="000000"/>
          <w:u w:val="single"/>
        </w:rPr>
        <w:t>Czech case law</w:t>
      </w:r>
    </w:p>
    <w:p w14:paraId="7BA3DAA8" w14:textId="77777777" w:rsidR="00692761" w:rsidRPr="00692761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92761" w:rsidRPr="00692761" w14:paraId="51CA8EAE" w14:textId="77777777" w:rsidTr="00692761">
        <w:tc>
          <w:tcPr>
            <w:tcW w:w="8613" w:type="dxa"/>
          </w:tcPr>
          <w:p w14:paraId="58084EF9" w14:textId="77777777" w:rsidR="00692761" w:rsidRPr="00692761" w:rsidRDefault="00692761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692761">
              <w:rPr>
                <w:rFonts w:ascii="Palatino Linotype" w:hAnsi="Palatino Linotype" w:cs="Times New Roman"/>
                <w:color w:val="000000"/>
                <w:sz w:val="20"/>
              </w:rPr>
              <w:t>Czech Supreme Court, dated 10 May 2005, Ref. No. 29 Odo 589/2004</w:t>
            </w:r>
          </w:p>
        </w:tc>
      </w:tr>
    </w:tbl>
    <w:p w14:paraId="62D09C73" w14:textId="77777777" w:rsidR="00692761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780ECF8D" w14:textId="77777777" w:rsidR="00700BF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  <w:r w:rsidRPr="00692761">
        <w:rPr>
          <w:rFonts w:ascii="Palatino Linotype" w:hAnsi="Palatino Linotype" w:cs="Times New Roman"/>
          <w:color w:val="000000"/>
          <w:u w:val="single"/>
        </w:rPr>
        <w:t>German</w:t>
      </w:r>
      <w:r w:rsidR="00692761">
        <w:rPr>
          <w:rFonts w:ascii="Palatino Linotype" w:hAnsi="Palatino Linotype" w:cs="Times New Roman"/>
          <w:color w:val="000000"/>
          <w:u w:val="single"/>
        </w:rPr>
        <w:t xml:space="preserve"> case law</w:t>
      </w:r>
    </w:p>
    <w:p w14:paraId="6B3D4403" w14:textId="77777777" w:rsidR="00692761" w:rsidRPr="00692761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  <w:u w:val="single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92761" w:rsidRPr="00692761" w14:paraId="1866B97A" w14:textId="77777777" w:rsidTr="00692761">
        <w:tc>
          <w:tcPr>
            <w:tcW w:w="8613" w:type="dxa"/>
          </w:tcPr>
          <w:p w14:paraId="28672798" w14:textId="77777777" w:rsidR="00692761" w:rsidRPr="00692761" w:rsidRDefault="00692761" w:rsidP="00631E19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692761">
              <w:rPr>
                <w:rFonts w:ascii="Palatino Linotype" w:hAnsi="Palatino Linotype" w:cs="Times New Roman"/>
                <w:color w:val="000000"/>
                <w:sz w:val="20"/>
              </w:rPr>
              <w:t>BGH 8.12.1998, XI ZR 302/97, IPRax 2000, pg. 128-129</w:t>
            </w:r>
          </w:p>
        </w:tc>
      </w:tr>
    </w:tbl>
    <w:p w14:paraId="37E64D32" w14:textId="77777777" w:rsidR="00692761" w:rsidRDefault="00692761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192C42C5" w14:textId="77777777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2.7</w:t>
      </w:r>
      <w:r w:rsidR="00692761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>In-Text Citations</w:t>
      </w:r>
    </w:p>
    <w:p w14:paraId="520A3D9B" w14:textId="77777777" w:rsidR="00EC4EBB" w:rsidRDefault="00700BF7" w:rsidP="00EC4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 xml:space="preserve">As to the citations in your article, you should only cite texts </w:t>
      </w:r>
      <w:r w:rsidR="009B14FE">
        <w:rPr>
          <w:rFonts w:ascii="Palatino Linotype" w:hAnsi="Palatino Linotype" w:cs="Times New Roman"/>
          <w:color w:val="000000"/>
        </w:rPr>
        <w:t>that</w:t>
      </w:r>
      <w:r w:rsidRPr="00F80707">
        <w:rPr>
          <w:rFonts w:ascii="Palatino Linotype" w:hAnsi="Palatino Linotype" w:cs="Times New Roman"/>
          <w:color w:val="000000"/>
        </w:rPr>
        <w:t xml:space="preserve"> are necessary for the arguments</w:t>
      </w:r>
      <w:r w:rsidR="009B14FE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you use. The citation should not generally be longer than four lines. The beginning and </w:t>
      </w:r>
      <w:r w:rsidR="009B14FE">
        <w:rPr>
          <w:rFonts w:ascii="Palatino Linotype" w:hAnsi="Palatino Linotype" w:cs="Times New Roman"/>
          <w:color w:val="000000"/>
        </w:rPr>
        <w:t xml:space="preserve">the </w:t>
      </w:r>
      <w:r w:rsidRPr="00F80707">
        <w:rPr>
          <w:rFonts w:ascii="Palatino Linotype" w:hAnsi="Palatino Linotype" w:cs="Times New Roman"/>
          <w:color w:val="000000"/>
        </w:rPr>
        <w:t>end of the</w:t>
      </w:r>
      <w:r w:rsidR="009B14FE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citations should be </w:t>
      </w:r>
      <w:r w:rsidR="00EC4EBB">
        <w:rPr>
          <w:rFonts w:ascii="Palatino Linotype" w:hAnsi="Palatino Linotype" w:cs="Times New Roman"/>
          <w:color w:val="000000"/>
        </w:rPr>
        <w:t>marked</w:t>
      </w:r>
      <w:r w:rsidRPr="00F80707">
        <w:rPr>
          <w:rFonts w:ascii="Palatino Linotype" w:hAnsi="Palatino Linotype" w:cs="Times New Roman"/>
          <w:color w:val="000000"/>
        </w:rPr>
        <w:t xml:space="preserve"> by </w:t>
      </w:r>
      <w:r w:rsidR="00EC4EBB">
        <w:rPr>
          <w:rFonts w:ascii="Palatino Linotype" w:hAnsi="Palatino Linotype" w:cs="Times New Roman"/>
          <w:color w:val="000000"/>
        </w:rPr>
        <w:t>quotation marks</w:t>
      </w:r>
      <w:r w:rsidRPr="00F80707">
        <w:rPr>
          <w:rFonts w:ascii="Palatino Linotype" w:hAnsi="Palatino Linotype" w:cs="Times New Roman"/>
          <w:color w:val="000000"/>
        </w:rPr>
        <w:t xml:space="preserve"> and the citation should be in italics. </w:t>
      </w:r>
      <w:r w:rsidR="00EC4EBB">
        <w:rPr>
          <w:rFonts w:ascii="Palatino Linotype" w:hAnsi="Palatino Linotype" w:cs="Times New Roman"/>
          <w:color w:val="000000"/>
        </w:rPr>
        <w:t>Each citation is to be followed by</w:t>
      </w:r>
      <w:r w:rsidRPr="00F80707">
        <w:rPr>
          <w:rFonts w:ascii="Palatino Linotype" w:hAnsi="Palatino Linotype" w:cs="Times New Roman"/>
          <w:color w:val="000000"/>
        </w:rPr>
        <w:t xml:space="preserve"> a</w:t>
      </w:r>
      <w:r w:rsidR="00EC4EBB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footnote with a reference to the source material. If</w:t>
      </w:r>
      <w:r w:rsidR="00EC4EBB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a part of the original cited text is left out, it should be indicated by square brackets as follows: […].</w:t>
      </w:r>
      <w:r w:rsidR="00EC4EBB">
        <w:rPr>
          <w:rFonts w:ascii="Palatino Linotype" w:hAnsi="Palatino Linotype" w:cs="Times New Roman"/>
          <w:color w:val="000000"/>
        </w:rPr>
        <w:t xml:space="preserve"> </w:t>
      </w:r>
    </w:p>
    <w:p w14:paraId="6DEA4C6E" w14:textId="77777777" w:rsidR="00AD2420" w:rsidRDefault="00AD2420" w:rsidP="00EC4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50831218" w14:textId="56726AD4" w:rsidR="00700BF7" w:rsidRDefault="00F02C4E" w:rsidP="00EC4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Here comes a</w:t>
      </w:r>
      <w:r w:rsidR="00700BF7" w:rsidRPr="00F80707">
        <w:rPr>
          <w:rFonts w:ascii="Palatino Linotype" w:hAnsi="Palatino Linotype" w:cs="Times New Roman"/>
          <w:color w:val="000000"/>
        </w:rPr>
        <w:t>n example:</w:t>
      </w:r>
    </w:p>
    <w:p w14:paraId="2D189B28" w14:textId="77777777" w:rsidR="00F02C4E" w:rsidRDefault="00F02C4E" w:rsidP="00EC4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06DD2F85" w14:textId="24EBB567" w:rsidR="00F02C4E" w:rsidRPr="00F80707" w:rsidRDefault="00F02C4E" w:rsidP="00EC4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02C4E">
        <w:rPr>
          <w:rFonts w:ascii="Palatino Linotype" w:hAnsi="Palatino Linotype" w:cs="Times New Roman"/>
          <w:color w:val="000000"/>
        </w:rPr>
        <w:t>Francois-Xavier Millet suggests that national identity “</w:t>
      </w:r>
      <w:r w:rsidRPr="00F02C4E">
        <w:rPr>
          <w:rFonts w:ascii="Palatino Linotype" w:hAnsi="Palatino Linotype" w:cs="Times New Roman"/>
          <w:i/>
          <w:color w:val="000000"/>
        </w:rPr>
        <w:t>can</w:t>
      </w:r>
      <w:r w:rsidRPr="00F02C4E">
        <w:rPr>
          <w:rFonts w:ascii="Palatino Linotype" w:hAnsi="Palatino Linotype" w:cs="Times New Roman"/>
          <w:color w:val="000000"/>
        </w:rPr>
        <w:t xml:space="preserve"> </w:t>
      </w:r>
      <w:r>
        <w:rPr>
          <w:rFonts w:ascii="Palatino Linotype" w:hAnsi="Palatino Linotype" w:cs="Times New Roman"/>
          <w:color w:val="000000"/>
        </w:rPr>
        <w:t>[</w:t>
      </w:r>
      <w:r w:rsidRPr="00F02C4E">
        <w:rPr>
          <w:rFonts w:ascii="Palatino Linotype" w:hAnsi="Palatino Linotype" w:cs="Times New Roman"/>
          <w:color w:val="000000"/>
        </w:rPr>
        <w:t>…</w:t>
      </w:r>
      <w:r>
        <w:rPr>
          <w:rFonts w:ascii="Palatino Linotype" w:hAnsi="Palatino Linotype" w:cs="Times New Roman"/>
          <w:color w:val="000000"/>
        </w:rPr>
        <w:t>]</w:t>
      </w:r>
      <w:r w:rsidRPr="00F02C4E">
        <w:rPr>
          <w:rFonts w:ascii="Palatino Linotype" w:hAnsi="Palatino Linotype" w:cs="Times New Roman"/>
          <w:color w:val="000000"/>
        </w:rPr>
        <w:t xml:space="preserve"> </w:t>
      </w:r>
      <w:r w:rsidRPr="00F02C4E">
        <w:rPr>
          <w:rFonts w:ascii="Palatino Linotype" w:hAnsi="Palatino Linotype" w:cs="Times New Roman"/>
          <w:i/>
          <w:color w:val="000000"/>
        </w:rPr>
        <w:t>be seen as divisive in a European Union aiming at unity</w:t>
      </w:r>
      <w:r w:rsidRPr="00F02C4E">
        <w:rPr>
          <w:rFonts w:ascii="Palatino Linotype" w:hAnsi="Palatino Linotype" w:cs="Times New Roman"/>
          <w:color w:val="000000"/>
        </w:rPr>
        <w:t>” and that it “</w:t>
      </w:r>
      <w:r w:rsidRPr="00F02C4E">
        <w:rPr>
          <w:rFonts w:ascii="Palatino Linotype" w:hAnsi="Palatino Linotype" w:cs="Times New Roman"/>
          <w:i/>
          <w:color w:val="000000"/>
        </w:rPr>
        <w:t>appears to run against the very spirit of integration and of an ‘ever closer union’.</w:t>
      </w:r>
      <w:r w:rsidRPr="00F02C4E">
        <w:rPr>
          <w:rFonts w:ascii="Palatino Linotype" w:hAnsi="Palatino Linotype" w:cs="Times New Roman"/>
          <w:color w:val="000000"/>
        </w:rPr>
        <w:t>”</w:t>
      </w:r>
      <w:r>
        <w:rPr>
          <w:rStyle w:val="Znakapoznpodarou"/>
          <w:rFonts w:ascii="Palatino Linotype" w:hAnsi="Palatino Linotype" w:cs="Times New Roman"/>
          <w:color w:val="000000"/>
        </w:rPr>
        <w:footnoteReference w:id="3"/>
      </w:r>
    </w:p>
    <w:p w14:paraId="4AADC673" w14:textId="77777777" w:rsidR="00AD2420" w:rsidRDefault="00AD2420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color w:val="000000"/>
        </w:rPr>
      </w:pPr>
    </w:p>
    <w:p w14:paraId="07A2F7C8" w14:textId="71FDF539" w:rsidR="00700BF7" w:rsidRPr="00F80707" w:rsidRDefault="00700BF7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2.8</w:t>
      </w:r>
      <w:r w:rsidR="00AD2420">
        <w:rPr>
          <w:rFonts w:ascii="Palatino Linotype" w:hAnsi="Palatino Linotype" w:cs="Times New Roman"/>
          <w:color w:val="000000"/>
        </w:rPr>
        <w:tab/>
      </w:r>
      <w:r w:rsidRPr="00F80707">
        <w:rPr>
          <w:rFonts w:ascii="Palatino Linotype" w:hAnsi="Palatino Linotype" w:cs="Times New Roman"/>
          <w:b/>
          <w:bCs/>
          <w:color w:val="000000"/>
        </w:rPr>
        <w:t xml:space="preserve">Later references to </w:t>
      </w:r>
      <w:r w:rsidR="00CE6CA2">
        <w:rPr>
          <w:rFonts w:ascii="Palatino Linotype" w:hAnsi="Palatino Linotype" w:cs="Times New Roman"/>
          <w:b/>
          <w:bCs/>
          <w:color w:val="000000"/>
        </w:rPr>
        <w:t>sources</w:t>
      </w:r>
      <w:r w:rsidRPr="00F80707">
        <w:rPr>
          <w:rFonts w:ascii="Palatino Linotype" w:hAnsi="Palatino Linotype" w:cs="Times New Roman"/>
          <w:b/>
          <w:bCs/>
          <w:color w:val="000000"/>
        </w:rPr>
        <w:t xml:space="preserve"> previously cited in full:</w:t>
      </w:r>
    </w:p>
    <w:p w14:paraId="12086A82" w14:textId="77777777" w:rsidR="00AD2420" w:rsidRDefault="00700BF7" w:rsidP="00AD242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If the same source is referred to repeatedly in footnotes, the complete reference is made only once at</w:t>
      </w:r>
      <w:r w:rsidR="00AD2420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the first footnote. The subsequent footnotes only refer to the previous one. For these purposes, two</w:t>
      </w:r>
      <w:r w:rsidR="00AD2420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Latin abbreviations are used. Use </w:t>
      </w:r>
      <w:r w:rsidRPr="00F80707">
        <w:rPr>
          <w:rFonts w:ascii="Palatino Linotype" w:hAnsi="Palatino Linotype" w:cs="Times New Roman"/>
          <w:i/>
          <w:iCs/>
          <w:color w:val="000000"/>
        </w:rPr>
        <w:t>ibid</w:t>
      </w:r>
      <w:r w:rsidRPr="00F80707">
        <w:rPr>
          <w:rFonts w:ascii="Palatino Linotype" w:hAnsi="Palatino Linotype" w:cs="Times New Roman"/>
          <w:color w:val="000000"/>
        </w:rPr>
        <w:t>. when the later citation immediately follows the full citation.</w:t>
      </w:r>
      <w:r w:rsidR="00AD2420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 xml:space="preserve">Use </w:t>
      </w:r>
      <w:r w:rsidRPr="00F80707">
        <w:rPr>
          <w:rFonts w:ascii="Palatino Linotype" w:hAnsi="Palatino Linotype" w:cs="Times New Roman"/>
          <w:i/>
          <w:iCs/>
          <w:color w:val="000000"/>
        </w:rPr>
        <w:t xml:space="preserve">op. cit., </w:t>
      </w:r>
      <w:r w:rsidRPr="00F80707">
        <w:rPr>
          <w:rFonts w:ascii="Palatino Linotype" w:hAnsi="Palatino Linotype" w:cs="Times New Roman"/>
          <w:color w:val="000000"/>
        </w:rPr>
        <w:t xml:space="preserve">note </w:t>
      </w:r>
      <w:r w:rsidRPr="00F80707">
        <w:rPr>
          <w:rFonts w:ascii="Palatino Linotype" w:hAnsi="Palatino Linotype" w:cs="Times New Roman"/>
          <w:i/>
          <w:iCs/>
          <w:color w:val="000000"/>
        </w:rPr>
        <w:t xml:space="preserve">… </w:t>
      </w:r>
      <w:r w:rsidRPr="00F80707">
        <w:rPr>
          <w:rFonts w:ascii="Palatino Linotype" w:hAnsi="Palatino Linotype" w:cs="Times New Roman"/>
          <w:color w:val="000000"/>
        </w:rPr>
        <w:t>when the later citation does not immedi</w:t>
      </w:r>
      <w:r w:rsidR="00AD2420">
        <w:rPr>
          <w:rFonts w:ascii="Palatino Linotype" w:hAnsi="Palatino Linotype" w:cs="Times New Roman"/>
          <w:color w:val="000000"/>
        </w:rPr>
        <w:t>ately follow the full citation.</w:t>
      </w:r>
    </w:p>
    <w:p w14:paraId="67EAAF34" w14:textId="77777777" w:rsidR="00AD2420" w:rsidRDefault="00AD2420" w:rsidP="00AD242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p w14:paraId="31503DA6" w14:textId="77777777" w:rsidR="00700BF7" w:rsidRDefault="00700BF7" w:rsidP="00AD242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Examples:</w:t>
      </w:r>
    </w:p>
    <w:p w14:paraId="6E59E863" w14:textId="77777777" w:rsidR="008A778D" w:rsidRPr="00F80707" w:rsidRDefault="008A778D" w:rsidP="00AD242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</w:p>
    <w:tbl>
      <w:tblPr>
        <w:tblStyle w:val="Mkatabul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A6158" w:rsidRPr="009A6158" w14:paraId="2FF62A46" w14:textId="77777777" w:rsidTr="009A6158">
        <w:tc>
          <w:tcPr>
            <w:tcW w:w="8471" w:type="dxa"/>
          </w:tcPr>
          <w:p w14:paraId="0A350B10" w14:textId="3837F8FF" w:rsidR="009A6158" w:rsidRPr="009A6158" w:rsidRDefault="009A6158" w:rsidP="00C85A4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9A6158">
              <w:rPr>
                <w:rFonts w:ascii="Palatino Linotype" w:hAnsi="Palatino Linotype" w:cs="Times New Roman"/>
                <w:color w:val="000000"/>
                <w:sz w:val="20"/>
                <w:vertAlign w:val="superscript"/>
              </w:rPr>
              <w:t>1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 xml:space="preserve"> Olowofoyeku, A. 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 xml:space="preserve">(1993). </w:t>
            </w:r>
            <w:r w:rsidRPr="009A6158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>Suing Judges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>. Oxford: Clarendon Press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>, p. 23.</w:t>
            </w:r>
          </w:p>
        </w:tc>
      </w:tr>
      <w:tr w:rsidR="009A6158" w:rsidRPr="009A6158" w14:paraId="213586BD" w14:textId="77777777" w:rsidTr="009A6158">
        <w:tc>
          <w:tcPr>
            <w:tcW w:w="8471" w:type="dxa"/>
          </w:tcPr>
          <w:p w14:paraId="11C08185" w14:textId="503CD68B" w:rsidR="009A6158" w:rsidRPr="009A6158" w:rsidRDefault="009A6158" w:rsidP="00C85A4F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9A6158">
              <w:rPr>
                <w:rFonts w:ascii="Palatino Linotype" w:hAnsi="Palatino Linotype" w:cs="Times New Roman"/>
                <w:color w:val="000000"/>
                <w:sz w:val="20"/>
                <w:vertAlign w:val="superscript"/>
                <w:lang w:val="fr-FR"/>
              </w:rPr>
              <w:t>2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 xml:space="preserve"> Craig, P. and d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e Búrca, G.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 xml:space="preserve"> (2015).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 xml:space="preserve"> </w:t>
            </w:r>
            <w:r w:rsidRPr="009A6158">
              <w:rPr>
                <w:rFonts w:ascii="Palatino Linotype" w:hAnsi="Palatino Linotype" w:cs="Times New Roman"/>
                <w:i/>
                <w:iCs/>
                <w:color w:val="000000"/>
                <w:sz w:val="20"/>
                <w:lang w:val="fr-FR"/>
              </w:rPr>
              <w:t>EU Law</w:t>
            </w:r>
            <w:r w:rsidR="00C85A4F">
              <w:rPr>
                <w:rFonts w:ascii="Palatino Linotype" w:hAnsi="Palatino Linotype" w:cs="Times New Roman"/>
                <w:i/>
                <w:iCs/>
                <w:color w:val="000000"/>
                <w:sz w:val="20"/>
                <w:lang w:val="fr-FR"/>
              </w:rPr>
              <w:t>:</w:t>
            </w:r>
            <w:r w:rsidRPr="009A6158">
              <w:rPr>
                <w:rFonts w:ascii="Palatino Linotype" w:hAnsi="Palatino Linotype" w:cs="Times New Roman"/>
                <w:i/>
                <w:iCs/>
                <w:color w:val="000000"/>
                <w:sz w:val="20"/>
                <w:lang w:val="fr-FR"/>
              </w:rPr>
              <w:t xml:space="preserve"> </w:t>
            </w:r>
            <w:r w:rsidRPr="009A6158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>Text, Cases, and Materials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 xml:space="preserve">. 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>6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  <w:vertAlign w:val="superscript"/>
              </w:rPr>
              <w:t>th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 xml:space="preserve"> Ed. O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</w:rPr>
              <w:t>xford: Oxford University Press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>, p. 45.</w:t>
            </w:r>
          </w:p>
        </w:tc>
      </w:tr>
      <w:tr w:rsidR="009A6158" w:rsidRPr="009A6158" w14:paraId="210DD1AC" w14:textId="77777777" w:rsidTr="009A6158">
        <w:tc>
          <w:tcPr>
            <w:tcW w:w="8471" w:type="dxa"/>
          </w:tcPr>
          <w:p w14:paraId="1D7EB5B6" w14:textId="058D779E" w:rsidR="009A6158" w:rsidRPr="009A6158" w:rsidRDefault="009A6158" w:rsidP="00631E1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</w:rPr>
            </w:pPr>
            <w:r w:rsidRPr="009A6158">
              <w:rPr>
                <w:rFonts w:ascii="Palatino Linotype" w:hAnsi="Palatino Linotype" w:cs="Times New Roman"/>
                <w:color w:val="000000"/>
                <w:sz w:val="20"/>
                <w:vertAlign w:val="superscript"/>
              </w:rPr>
              <w:t>3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 xml:space="preserve"> Craig, P. and 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d</w:t>
            </w:r>
            <w:r w:rsidR="00C85A4F" w:rsidRPr="009A6158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>e Búrca</w:t>
            </w:r>
            <w:r w:rsidR="00C85A4F">
              <w:rPr>
                <w:rFonts w:ascii="Palatino Linotype" w:hAnsi="Palatino Linotype" w:cs="Times New Roman"/>
                <w:color w:val="000000"/>
                <w:sz w:val="20"/>
                <w:lang w:val="fr-FR"/>
              </w:rPr>
              <w:t xml:space="preserve"> G.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 xml:space="preserve">, </w:t>
            </w:r>
            <w:r w:rsidRPr="009A6158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>ibid</w:t>
            </w:r>
            <w:r w:rsidR="00830AFB">
              <w:rPr>
                <w:rFonts w:ascii="Palatino Linotype" w:hAnsi="Palatino Linotype" w:cs="Times New Roman"/>
                <w:i/>
                <w:iCs/>
                <w:color w:val="000000"/>
                <w:sz w:val="20"/>
              </w:rPr>
              <w:t>.</w:t>
            </w:r>
            <w:r w:rsidRPr="009A6158">
              <w:rPr>
                <w:rFonts w:ascii="Palatino Linotype" w:hAnsi="Palatino Linotype" w:cs="Times New Roman"/>
                <w:color w:val="000000"/>
                <w:sz w:val="20"/>
              </w:rPr>
              <w:t>, p. 45.</w:t>
            </w:r>
          </w:p>
        </w:tc>
      </w:tr>
      <w:tr w:rsidR="009A6158" w:rsidRPr="00366BC2" w14:paraId="487DAC8B" w14:textId="77777777" w:rsidTr="009A6158">
        <w:tc>
          <w:tcPr>
            <w:tcW w:w="8471" w:type="dxa"/>
          </w:tcPr>
          <w:p w14:paraId="2A31830F" w14:textId="77777777" w:rsidR="009A6158" w:rsidRPr="00366BC2" w:rsidRDefault="009A6158" w:rsidP="00631E19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0"/>
                <w:lang w:val="nl-BE"/>
              </w:rPr>
            </w:pPr>
            <w:r w:rsidRPr="00366BC2">
              <w:rPr>
                <w:rFonts w:ascii="Palatino Linotype" w:hAnsi="Palatino Linotype" w:cs="Times New Roman"/>
                <w:color w:val="000000"/>
                <w:sz w:val="20"/>
                <w:vertAlign w:val="superscript"/>
                <w:lang w:val="nl-BE"/>
              </w:rPr>
              <w:t>4</w:t>
            </w:r>
            <w:r w:rsidRPr="00366BC2">
              <w:rPr>
                <w:rFonts w:ascii="Palatino Linotype" w:hAnsi="Palatino Linotype" w:cs="Times New Roman"/>
                <w:color w:val="000000"/>
                <w:sz w:val="20"/>
                <w:lang w:val="nl-BE"/>
              </w:rPr>
              <w:t xml:space="preserve"> Olowofoyeku, </w:t>
            </w:r>
            <w:r w:rsidRPr="00366BC2">
              <w:rPr>
                <w:rFonts w:ascii="Palatino Linotype" w:hAnsi="Palatino Linotype" w:cs="Times New Roman"/>
                <w:i/>
                <w:iCs/>
                <w:color w:val="000000"/>
                <w:sz w:val="20"/>
                <w:lang w:val="nl-BE"/>
              </w:rPr>
              <w:t>op. cit.</w:t>
            </w:r>
            <w:r w:rsidRPr="00366BC2">
              <w:rPr>
                <w:rFonts w:ascii="Palatino Linotype" w:hAnsi="Palatino Linotype" w:cs="Times New Roman"/>
                <w:color w:val="000000"/>
                <w:sz w:val="20"/>
                <w:lang w:val="nl-BE"/>
              </w:rPr>
              <w:t>, note 1, p. 25.</w:t>
            </w:r>
          </w:p>
        </w:tc>
      </w:tr>
    </w:tbl>
    <w:p w14:paraId="18511F06" w14:textId="77777777" w:rsidR="00AD2420" w:rsidRPr="00366BC2" w:rsidRDefault="00AD2420" w:rsidP="00AD242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lang w:val="nl-BE"/>
        </w:rPr>
      </w:pPr>
    </w:p>
    <w:p w14:paraId="7B1FEA70" w14:textId="77777777" w:rsidR="00700BF7" w:rsidRPr="00AF1E2F" w:rsidRDefault="00AF1E2F" w:rsidP="00F8070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color w:val="000000"/>
        </w:rPr>
      </w:pPr>
      <w:r w:rsidRPr="00AF1E2F">
        <w:rPr>
          <w:rFonts w:ascii="Palatino Linotype" w:hAnsi="Palatino Linotype" w:cs="Times New Roman"/>
          <w:color w:val="000000"/>
        </w:rPr>
        <w:t>2.9</w:t>
      </w:r>
      <w:r w:rsidRPr="00AF1E2F">
        <w:rPr>
          <w:rFonts w:ascii="Palatino Linotype" w:hAnsi="Palatino Linotype" w:cs="Times New Roman"/>
          <w:color w:val="000000"/>
        </w:rPr>
        <w:tab/>
      </w:r>
      <w:r w:rsidR="00700BF7" w:rsidRPr="00AF1E2F">
        <w:rPr>
          <w:rFonts w:ascii="Palatino Linotype" w:hAnsi="Palatino Linotype" w:cs="Times New Roman"/>
          <w:b/>
          <w:bCs/>
          <w:color w:val="000000"/>
        </w:rPr>
        <w:t>Bibliography</w:t>
      </w:r>
    </w:p>
    <w:p w14:paraId="1271D2E9" w14:textId="77777777" w:rsidR="00631E19" w:rsidRPr="0083796F" w:rsidRDefault="00700BF7" w:rsidP="0083796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</w:rPr>
      </w:pPr>
      <w:r w:rsidRPr="00F80707">
        <w:rPr>
          <w:rFonts w:ascii="Palatino Linotype" w:hAnsi="Palatino Linotype" w:cs="Times New Roman"/>
          <w:color w:val="000000"/>
        </w:rPr>
        <w:t>The references to the source materials (i.e. bibliographic references) should be indicated</w:t>
      </w:r>
      <w:r w:rsidR="00AF1E2F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continuously</w:t>
      </w:r>
      <w:r w:rsidR="00AF1E2F">
        <w:rPr>
          <w:rFonts w:ascii="Palatino Linotype" w:hAnsi="Palatino Linotype" w:cs="Times New Roman"/>
          <w:color w:val="000000"/>
        </w:rPr>
        <w:t xml:space="preserve"> </w:t>
      </w:r>
      <w:r w:rsidRPr="00F80707">
        <w:rPr>
          <w:rFonts w:ascii="Palatino Linotype" w:hAnsi="Palatino Linotype" w:cs="Times New Roman"/>
          <w:color w:val="000000"/>
        </w:rPr>
        <w:t>in the footnotes of the article. The Review does not reprint the list of bibliography at the end of an</w:t>
      </w:r>
      <w:r w:rsidR="00AF1E2F">
        <w:rPr>
          <w:rFonts w:ascii="Palatino Linotype" w:hAnsi="Palatino Linotype" w:cs="Times New Roman"/>
          <w:color w:val="000000"/>
        </w:rPr>
        <w:t xml:space="preserve"> </w:t>
      </w:r>
      <w:r w:rsidR="0083796F">
        <w:rPr>
          <w:rFonts w:ascii="Palatino Linotype" w:hAnsi="Palatino Linotype" w:cs="Times New Roman"/>
          <w:color w:val="000000"/>
        </w:rPr>
        <w:t>article.</w:t>
      </w:r>
    </w:p>
    <w:sectPr w:rsidR="00631E19" w:rsidRPr="0083796F" w:rsidSect="00354D7E">
      <w:headerReference w:type="default" r:id="rId8"/>
      <w:footerReference w:type="default" r:id="rId9"/>
      <w:pgSz w:w="11906" w:h="16838"/>
      <w:pgMar w:top="1417" w:right="1133" w:bottom="1417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DC0CB" w14:textId="77777777" w:rsidR="00D125C9" w:rsidRDefault="00D125C9" w:rsidP="00F760A4">
      <w:pPr>
        <w:spacing w:after="0" w:line="240" w:lineRule="auto"/>
      </w:pPr>
      <w:r>
        <w:separator/>
      </w:r>
    </w:p>
  </w:endnote>
  <w:endnote w:type="continuationSeparator" w:id="0">
    <w:p w14:paraId="1C9B5509" w14:textId="77777777" w:rsidR="00D125C9" w:rsidRDefault="00D125C9" w:rsidP="00F7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  <w:sz w:val="20"/>
      </w:rPr>
      <w:id w:val="-1683510041"/>
      <w:docPartObj>
        <w:docPartGallery w:val="Page Numbers (Bottom of Page)"/>
        <w:docPartUnique/>
      </w:docPartObj>
    </w:sdtPr>
    <w:sdtEndPr/>
    <w:sdtContent>
      <w:p w14:paraId="090AC1F2" w14:textId="2666760B" w:rsidR="00631E19" w:rsidRPr="00CA7356" w:rsidRDefault="00631E19" w:rsidP="00CA7356">
        <w:pPr>
          <w:pStyle w:val="Zpat"/>
          <w:jc w:val="center"/>
          <w:rPr>
            <w:rFonts w:ascii="Palatino Linotype" w:hAnsi="Palatino Linotype"/>
            <w:sz w:val="20"/>
          </w:rPr>
        </w:pPr>
        <w:r w:rsidRPr="00CA7356">
          <w:rPr>
            <w:rFonts w:ascii="Palatino Linotype" w:hAnsi="Palatino Linotype"/>
            <w:sz w:val="20"/>
          </w:rPr>
          <w:fldChar w:fldCharType="begin"/>
        </w:r>
        <w:r w:rsidRPr="00CA7356">
          <w:rPr>
            <w:rFonts w:ascii="Palatino Linotype" w:hAnsi="Palatino Linotype"/>
            <w:sz w:val="20"/>
          </w:rPr>
          <w:instrText>PAGE   \* MERGEFORMAT</w:instrText>
        </w:r>
        <w:r w:rsidRPr="00CA7356">
          <w:rPr>
            <w:rFonts w:ascii="Palatino Linotype" w:hAnsi="Palatino Linotype"/>
            <w:sz w:val="20"/>
          </w:rPr>
          <w:fldChar w:fldCharType="separate"/>
        </w:r>
        <w:r w:rsidR="00D125C9" w:rsidRPr="00D125C9">
          <w:rPr>
            <w:rFonts w:ascii="Palatino Linotype" w:hAnsi="Palatino Linotype"/>
            <w:noProof/>
            <w:sz w:val="20"/>
            <w:lang w:val="cs-CZ"/>
          </w:rPr>
          <w:t>1</w:t>
        </w:r>
        <w:r w:rsidRPr="00CA7356">
          <w:rPr>
            <w:rFonts w:ascii="Palatino Linotype" w:hAnsi="Palatino Linotype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354EC" w14:textId="77777777" w:rsidR="00D125C9" w:rsidRDefault="00D125C9" w:rsidP="00F760A4">
      <w:pPr>
        <w:spacing w:after="0" w:line="240" w:lineRule="auto"/>
      </w:pPr>
      <w:r>
        <w:separator/>
      </w:r>
    </w:p>
  </w:footnote>
  <w:footnote w:type="continuationSeparator" w:id="0">
    <w:p w14:paraId="30DC1D24" w14:textId="77777777" w:rsidR="00D125C9" w:rsidRDefault="00D125C9" w:rsidP="00F760A4">
      <w:pPr>
        <w:spacing w:after="0" w:line="240" w:lineRule="auto"/>
      </w:pPr>
      <w:r>
        <w:continuationSeparator/>
      </w:r>
    </w:p>
  </w:footnote>
  <w:footnote w:id="1">
    <w:p w14:paraId="32058110" w14:textId="77777777" w:rsidR="00631E19" w:rsidRPr="00830AFB" w:rsidRDefault="00631E19" w:rsidP="00F760A4">
      <w:pPr>
        <w:pStyle w:val="Textpoznpodarou"/>
        <w:jc w:val="both"/>
        <w:rPr>
          <w:rFonts w:ascii="Palatino Linotype" w:hAnsi="Palatino Linotype"/>
          <w:color w:val="FF0000"/>
          <w:lang w:val="cs-CZ"/>
        </w:rPr>
      </w:pPr>
      <w:bookmarkStart w:id="0" w:name="_GoBack"/>
      <w:r w:rsidRPr="00DA2A4C">
        <w:rPr>
          <w:rStyle w:val="Znakapoznpodarou"/>
          <w:rFonts w:ascii="Palatino Linotype" w:hAnsi="Palatino Linotype"/>
        </w:rPr>
        <w:footnoteRef/>
      </w:r>
      <w:r w:rsidRPr="00DA2A4C">
        <w:rPr>
          <w:rFonts w:ascii="Palatino Linotype" w:hAnsi="Palatino Linotype"/>
        </w:rPr>
        <w:t xml:space="preserve"> There are various systems for referencing. One of the detailed guides is available at </w:t>
      </w:r>
      <w:hyperlink r:id="rId1" w:history="1">
        <w:r w:rsidRPr="00DA2A4C">
          <w:rPr>
            <w:rStyle w:val="Hypertextovodkaz"/>
            <w:rFonts w:ascii="Palatino Linotype" w:hAnsi="Palatino Linotype"/>
            <w:color w:val="auto"/>
          </w:rPr>
          <w:t>http://www.reading.ac.uk/nmsruntime/saveasdialog.asp?lID=10342&amp;sID=40236</w:t>
        </w:r>
      </w:hyperlink>
      <w:r w:rsidRPr="00DA2A4C">
        <w:rPr>
          <w:rFonts w:ascii="Palatino Linotype" w:hAnsi="Palatino Linotype"/>
        </w:rPr>
        <w:t xml:space="preserve">; see also International Organization for Standardization. </w:t>
      </w:r>
      <w:r w:rsidRPr="00DA2A4C">
        <w:rPr>
          <w:rFonts w:ascii="Palatino Linotype" w:hAnsi="Palatino Linotype"/>
          <w:i/>
        </w:rPr>
        <w:t>Excerpts from International Standard ISO 690-2</w:t>
      </w:r>
      <w:r w:rsidRPr="00DA2A4C">
        <w:rPr>
          <w:rFonts w:ascii="Palatino Linotype" w:hAnsi="Palatino Linotype"/>
        </w:rPr>
        <w:t xml:space="preserve"> [online]. Ottawa, Canada: National Library of Canada. Available at: </w:t>
      </w:r>
      <w:hyperlink r:id="rId2" w:history="1">
        <w:r w:rsidRPr="00DA2A4C">
          <w:rPr>
            <w:rStyle w:val="Hypertextovodkaz"/>
            <w:rFonts w:ascii="Palatino Linotype" w:hAnsi="Palatino Linotype"/>
            <w:color w:val="auto"/>
          </w:rPr>
          <w:t>http://www.nlc-bnc.ca/iso/tc46sc9/standard/690-2e.htm</w:t>
        </w:r>
      </w:hyperlink>
      <w:r w:rsidRPr="00DA2A4C">
        <w:rPr>
          <w:rFonts w:ascii="Palatino Linotype" w:hAnsi="Palatino Linotype"/>
        </w:rPr>
        <w:t xml:space="preserve"> [11 November 2007].</w:t>
      </w:r>
      <w:bookmarkEnd w:id="0"/>
    </w:p>
  </w:footnote>
  <w:footnote w:id="2">
    <w:p w14:paraId="18350DAB" w14:textId="4C7E9EB7" w:rsidR="00631E19" w:rsidRPr="00F02C4E" w:rsidRDefault="00631E19" w:rsidP="009E3A0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  <w:lang w:val="cs-CZ"/>
        </w:rPr>
      </w:pPr>
      <w:r w:rsidRPr="00F02C4E">
        <w:rPr>
          <w:rStyle w:val="Znakapoznpodarou"/>
          <w:rFonts w:ascii="Palatino Linotype" w:hAnsi="Palatino Linotype"/>
          <w:sz w:val="20"/>
          <w:szCs w:val="20"/>
        </w:rPr>
        <w:footnoteRef/>
      </w:r>
      <w:r w:rsidRPr="00F02C4E">
        <w:rPr>
          <w:rFonts w:ascii="Palatino Linotype" w:hAnsi="Palatino Linotype"/>
          <w:sz w:val="20"/>
          <w:szCs w:val="20"/>
        </w:rPr>
        <w:t xml:space="preserve"> </w:t>
      </w:r>
      <w:r w:rsidRPr="00F02C4E">
        <w:rPr>
          <w:rFonts w:ascii="Palatino Linotype" w:hAnsi="Palatino Linotype"/>
          <w:sz w:val="20"/>
          <w:szCs w:val="20"/>
          <w:lang w:val="cs-CZ"/>
        </w:rPr>
        <w:t xml:space="preserve">See also </w:t>
      </w:r>
      <w:hyperlink r:id="rId3" w:history="1">
        <w:r w:rsidR="00354D7E" w:rsidRPr="00875578">
          <w:rPr>
            <w:rStyle w:val="Hypertextovodkaz"/>
            <w:rFonts w:ascii="Palatino Linotype" w:hAnsi="Palatino Linotype" w:cs="Times New Roman"/>
            <w:sz w:val="20"/>
            <w:szCs w:val="20"/>
          </w:rPr>
          <w:t>http://en.wikipedia.org/wiki/Case_citation</w:t>
        </w:r>
      </w:hyperlink>
      <w:r w:rsidR="00354D7E" w:rsidRPr="00354D7E">
        <w:rPr>
          <w:rFonts w:ascii="Palatino Linotype" w:hAnsi="Palatino Linotype" w:cs="Times New Roman"/>
          <w:sz w:val="20"/>
          <w:szCs w:val="20"/>
        </w:rPr>
        <w:t>.</w:t>
      </w:r>
      <w:r w:rsidR="00354D7E">
        <w:rPr>
          <w:rFonts w:ascii="Palatino Linotype" w:hAnsi="Palatino Linotype" w:cs="Times New Roman"/>
          <w:color w:val="0000FF"/>
          <w:sz w:val="20"/>
          <w:szCs w:val="20"/>
        </w:rPr>
        <w:t xml:space="preserve"> </w:t>
      </w:r>
    </w:p>
  </w:footnote>
  <w:footnote w:id="3">
    <w:p w14:paraId="019AF13C" w14:textId="386963B5" w:rsidR="00F02C4E" w:rsidRPr="00F02C4E" w:rsidRDefault="00F02C4E" w:rsidP="00F02C4E">
      <w:pPr>
        <w:pStyle w:val="Textpoznpodarou"/>
        <w:jc w:val="both"/>
        <w:rPr>
          <w:rFonts w:ascii="Palatino Linotype" w:hAnsi="Palatino Linotype"/>
          <w:lang w:val="en-US"/>
        </w:rPr>
      </w:pPr>
      <w:r w:rsidRPr="00F02C4E">
        <w:rPr>
          <w:rStyle w:val="Znakapoznpodarou"/>
          <w:rFonts w:ascii="Palatino Linotype" w:hAnsi="Palatino Linotype"/>
        </w:rPr>
        <w:footnoteRef/>
      </w:r>
      <w:r w:rsidRPr="00F02C4E">
        <w:rPr>
          <w:rFonts w:ascii="Palatino Linotype" w:hAnsi="Palatino Linotype"/>
        </w:rPr>
        <w:t xml:space="preserve"> Millet, F</w:t>
      </w:r>
      <w:r>
        <w:rPr>
          <w:rFonts w:ascii="Palatino Linotype" w:hAnsi="Palatino Linotype"/>
        </w:rPr>
        <w:t xml:space="preserve">.X. (2015). Book Review: National Identity in EU Law by Elke Cloots. 34 </w:t>
      </w:r>
      <w:r>
        <w:rPr>
          <w:rFonts w:ascii="Palatino Linotype" w:hAnsi="Palatino Linotype"/>
          <w:i/>
        </w:rPr>
        <w:t xml:space="preserve">Yearbook of European Law </w:t>
      </w:r>
      <w:r>
        <w:rPr>
          <w:rFonts w:ascii="Palatino Linotype" w:hAnsi="Palatino Linotype"/>
        </w:rPr>
        <w:t>1, p. 357.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58AD" w14:textId="77777777" w:rsidR="00631E19" w:rsidRPr="00CA7356" w:rsidRDefault="00631E19" w:rsidP="00B45119">
    <w:pPr>
      <w:pStyle w:val="Zhlav"/>
      <w:rPr>
        <w:rFonts w:ascii="Palatino Linotype" w:hAnsi="Palatino Linotype"/>
        <w:b/>
        <w:smallCaps/>
      </w:rPr>
    </w:pPr>
    <w:r w:rsidRPr="00CA7356">
      <w:rPr>
        <w:rFonts w:ascii="Palatino Linotype" w:hAnsi="Palatino Linotype"/>
        <w:b/>
        <w:smallCaps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F3C3F70" wp14:editId="755AA8AA">
          <wp:simplePos x="0" y="0"/>
          <wp:positionH relativeFrom="column">
            <wp:posOffset>4519930</wp:posOffset>
          </wp:positionH>
          <wp:positionV relativeFrom="paragraph">
            <wp:posOffset>-95250</wp:posOffset>
          </wp:positionV>
          <wp:extent cx="1228725" cy="649605"/>
          <wp:effectExtent l="0" t="0" r="9525" b="0"/>
          <wp:wrapThrough wrapText="bothSides">
            <wp:wrapPolygon edited="0">
              <wp:start x="0" y="0"/>
              <wp:lineTo x="0" y="20903"/>
              <wp:lineTo x="21433" y="20903"/>
              <wp:lineTo x="21433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356">
      <w:rPr>
        <w:rFonts w:ascii="Palatino Linotype" w:hAnsi="Palatino Linotype"/>
        <w:b/>
        <w:smallCaps/>
      </w:rPr>
      <w:t>Publication Guidelines</w:t>
    </w:r>
  </w:p>
  <w:p w14:paraId="15149255" w14:textId="3209130A" w:rsidR="00631E19" w:rsidRDefault="00631E19" w:rsidP="00B45119">
    <w:pPr>
      <w:pStyle w:val="Zhlav"/>
      <w:rPr>
        <w:rFonts w:ascii="Palatino Linotype" w:hAnsi="Palatino Linotype"/>
        <w:i/>
      </w:rPr>
    </w:pPr>
    <w:r w:rsidRPr="00CA7356">
      <w:rPr>
        <w:rFonts w:ascii="Palatino Linotype" w:hAnsi="Palatino Linotype"/>
        <w:i/>
      </w:rPr>
      <w:t>for CLR Authors</w:t>
    </w:r>
    <w:r>
      <w:rPr>
        <w:rFonts w:ascii="Palatino Linotype" w:hAnsi="Palatino Linotype"/>
        <w:i/>
      </w:rPr>
      <w:t xml:space="preserve"> (</w:t>
    </w:r>
    <w:r w:rsidR="00BF0496">
      <w:rPr>
        <w:rFonts w:ascii="Palatino Linotype" w:hAnsi="Palatino Linotype"/>
        <w:i/>
      </w:rPr>
      <w:t>June</w:t>
    </w:r>
    <w:r>
      <w:rPr>
        <w:rFonts w:ascii="Palatino Linotype" w:hAnsi="Palatino Linotype"/>
        <w:i/>
      </w:rPr>
      <w:t xml:space="preserve"> 2016)</w:t>
    </w:r>
  </w:p>
  <w:p w14:paraId="513E842B" w14:textId="77777777" w:rsidR="00631E19" w:rsidRPr="00CA7356" w:rsidRDefault="00631E19" w:rsidP="006A3459">
    <w:pPr>
      <w:pStyle w:val="Zhlav"/>
      <w:jc w:val="right"/>
      <w:rPr>
        <w:rFonts w:ascii="Palatino Linotype" w:hAnsi="Palatino Linotype"/>
        <w:i/>
      </w:rPr>
    </w:pPr>
  </w:p>
  <w:p w14:paraId="666155C9" w14:textId="77777777" w:rsidR="00631E19" w:rsidRPr="00B45119" w:rsidRDefault="00631E19" w:rsidP="0083796F">
    <w:pPr>
      <w:pStyle w:val="Zhlav"/>
      <w:jc w:val="right"/>
      <w:rPr>
        <w:rFonts w:ascii="Palatino Linotype" w:hAnsi="Palatino Linoty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F7"/>
    <w:rsid w:val="00040850"/>
    <w:rsid w:val="000643E9"/>
    <w:rsid w:val="00073EA5"/>
    <w:rsid w:val="000E023C"/>
    <w:rsid w:val="00114649"/>
    <w:rsid w:val="00156CDA"/>
    <w:rsid w:val="00296865"/>
    <w:rsid w:val="002F32C0"/>
    <w:rsid w:val="00354D7E"/>
    <w:rsid w:val="00366BC2"/>
    <w:rsid w:val="00465498"/>
    <w:rsid w:val="004A10D6"/>
    <w:rsid w:val="004E488E"/>
    <w:rsid w:val="00565D52"/>
    <w:rsid w:val="005665F9"/>
    <w:rsid w:val="005A55B6"/>
    <w:rsid w:val="005B6EA2"/>
    <w:rsid w:val="005E242D"/>
    <w:rsid w:val="005E3F95"/>
    <w:rsid w:val="00631E19"/>
    <w:rsid w:val="006831D4"/>
    <w:rsid w:val="00692761"/>
    <w:rsid w:val="00696B45"/>
    <w:rsid w:val="006A3459"/>
    <w:rsid w:val="006F4EA1"/>
    <w:rsid w:val="00700BF7"/>
    <w:rsid w:val="00727C7E"/>
    <w:rsid w:val="00754110"/>
    <w:rsid w:val="007900E0"/>
    <w:rsid w:val="00811542"/>
    <w:rsid w:val="00830AFB"/>
    <w:rsid w:val="0083796F"/>
    <w:rsid w:val="008A778D"/>
    <w:rsid w:val="009220A4"/>
    <w:rsid w:val="00956427"/>
    <w:rsid w:val="009A6158"/>
    <w:rsid w:val="009B14FE"/>
    <w:rsid w:val="009E3A0A"/>
    <w:rsid w:val="00A048F4"/>
    <w:rsid w:val="00A2601D"/>
    <w:rsid w:val="00AD2420"/>
    <w:rsid w:val="00AF1E2F"/>
    <w:rsid w:val="00B45119"/>
    <w:rsid w:val="00BB4B80"/>
    <w:rsid w:val="00BE5826"/>
    <w:rsid w:val="00BF0496"/>
    <w:rsid w:val="00BF5A70"/>
    <w:rsid w:val="00C51871"/>
    <w:rsid w:val="00C85A4F"/>
    <w:rsid w:val="00C9462B"/>
    <w:rsid w:val="00C96807"/>
    <w:rsid w:val="00CA7356"/>
    <w:rsid w:val="00CD4980"/>
    <w:rsid w:val="00CE6CA2"/>
    <w:rsid w:val="00CF02AD"/>
    <w:rsid w:val="00D125C9"/>
    <w:rsid w:val="00D156EA"/>
    <w:rsid w:val="00DA2A4C"/>
    <w:rsid w:val="00DA6C73"/>
    <w:rsid w:val="00E04F5A"/>
    <w:rsid w:val="00E2155C"/>
    <w:rsid w:val="00EC4EBB"/>
    <w:rsid w:val="00F02C4E"/>
    <w:rsid w:val="00F07121"/>
    <w:rsid w:val="00F2633E"/>
    <w:rsid w:val="00F37B7F"/>
    <w:rsid w:val="00F53BFA"/>
    <w:rsid w:val="00F760A4"/>
    <w:rsid w:val="00F8070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FA2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B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32C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60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60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760A4"/>
    <w:rPr>
      <w:vertAlign w:val="superscript"/>
    </w:rPr>
  </w:style>
  <w:style w:type="table" w:styleId="Mkatabulky">
    <w:name w:val="Table Grid"/>
    <w:basedOn w:val="Normlntabulka"/>
    <w:uiPriority w:val="59"/>
    <w:rsid w:val="00E2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96F"/>
  </w:style>
  <w:style w:type="paragraph" w:styleId="Zpat">
    <w:name w:val="footer"/>
    <w:basedOn w:val="Normln"/>
    <w:link w:val="ZpatChar"/>
    <w:uiPriority w:val="99"/>
    <w:unhideWhenUsed/>
    <w:rsid w:val="00837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96F"/>
  </w:style>
  <w:style w:type="paragraph" w:styleId="Textbubliny">
    <w:name w:val="Balloon Text"/>
    <w:basedOn w:val="Normln"/>
    <w:link w:val="TextbublinyChar"/>
    <w:uiPriority w:val="99"/>
    <w:semiHidden/>
    <w:unhideWhenUsed/>
    <w:rsid w:val="0083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96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31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R@socie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Case_citation" TargetMode="External"/><Relationship Id="rId2" Type="http://schemas.openxmlformats.org/officeDocument/2006/relationships/hyperlink" Target="http://www.nlc-bnc.ca/iso/tc46sc9/standard/690-2e.htm" TargetMode="External"/><Relationship Id="rId1" Type="http://schemas.openxmlformats.org/officeDocument/2006/relationships/hyperlink" Target="http://www.reading.ac.uk/nmsruntime/saveasdialog.asp?lID=10342&amp;sID=402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0B7D6CF-F048-4DFC-BC03-64C44ED4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1386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Vikarská</dc:creator>
  <cp:lastModifiedBy>Anezka Janouskova</cp:lastModifiedBy>
  <cp:revision>14</cp:revision>
  <cp:lastPrinted>2013-02-20T18:57:00Z</cp:lastPrinted>
  <dcterms:created xsi:type="dcterms:W3CDTF">2016-01-15T00:03:00Z</dcterms:created>
  <dcterms:modified xsi:type="dcterms:W3CDTF">2016-07-01T13:20:00Z</dcterms:modified>
</cp:coreProperties>
</file>